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3F1F" w14:textId="3DF52FB7" w:rsidR="003051D2" w:rsidRPr="00E2137D" w:rsidRDefault="003051D2" w:rsidP="00F82F70">
      <w:pPr>
        <w:spacing w:after="0"/>
        <w:rPr>
          <w:rFonts w:eastAsiaTheme="minorHAnsi" w:cstheme="minorHAnsi"/>
          <w:sz w:val="20"/>
          <w:szCs w:val="20"/>
        </w:rPr>
      </w:pPr>
      <w:r w:rsidRPr="00E2137D">
        <w:rPr>
          <w:rFonts w:eastAsiaTheme="minorHAnsi" w:cstheme="minorHAnsi"/>
          <w:sz w:val="20"/>
          <w:szCs w:val="20"/>
        </w:rPr>
        <w:t xml:space="preserve">Registrant Name: </w:t>
      </w:r>
      <w:sdt>
        <w:sdtPr>
          <w:rPr>
            <w:rFonts w:eastAsiaTheme="minorHAnsi" w:cstheme="minorHAnsi"/>
            <w:sz w:val="20"/>
            <w:szCs w:val="20"/>
          </w:rPr>
          <w:id w:val="-718823913"/>
          <w:placeholder>
            <w:docPart w:val="DefaultPlaceholder_-1854013440"/>
          </w:placeholder>
          <w:showingPlcHdr/>
        </w:sdtPr>
        <w:sdtContent>
          <w:r w:rsidR="001741A5" w:rsidRPr="00E2137D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  <w:r w:rsidRPr="00E2137D">
        <w:rPr>
          <w:rFonts w:eastAsiaTheme="minorHAnsi" w:cstheme="minorHAnsi"/>
          <w:sz w:val="20"/>
          <w:szCs w:val="20"/>
        </w:rPr>
        <w:t xml:space="preserve">   </w:t>
      </w:r>
      <w:r w:rsidRPr="00E2137D">
        <w:rPr>
          <w:rFonts w:eastAsiaTheme="minorHAnsi" w:cstheme="minorHAnsi"/>
          <w:sz w:val="20"/>
          <w:szCs w:val="20"/>
        </w:rPr>
        <w:tab/>
      </w:r>
    </w:p>
    <w:p w14:paraId="331A548A" w14:textId="280FA5A2" w:rsidR="003051D2" w:rsidRPr="00E2137D" w:rsidRDefault="003051D2" w:rsidP="003051D2">
      <w:pPr>
        <w:tabs>
          <w:tab w:val="right" w:leader="underscore" w:pos="9270"/>
        </w:tabs>
        <w:autoSpaceDE w:val="0"/>
        <w:autoSpaceDN w:val="0"/>
        <w:adjustRightInd w:val="0"/>
        <w:spacing w:after="120" w:line="240" w:lineRule="auto"/>
        <w:ind w:right="-90"/>
        <w:rPr>
          <w:rFonts w:eastAsiaTheme="minorHAnsi" w:cstheme="minorHAnsi"/>
          <w:color w:val="000000"/>
          <w:sz w:val="20"/>
          <w:szCs w:val="20"/>
        </w:rPr>
      </w:pPr>
      <w:r w:rsidRPr="00E2137D">
        <w:rPr>
          <w:rFonts w:eastAsiaTheme="minorHAnsi" w:cstheme="minorHAnsi"/>
          <w:bCs/>
          <w:color w:val="000000"/>
          <w:sz w:val="20"/>
          <w:szCs w:val="20"/>
        </w:rPr>
        <w:t>Registered Location</w:t>
      </w:r>
      <w:r w:rsidR="001741A5" w:rsidRPr="00E2137D">
        <w:rPr>
          <w:rFonts w:eastAsiaTheme="minorHAnsi" w:cstheme="minorHAnsi"/>
          <w:bCs/>
          <w:color w:val="000000"/>
          <w:sz w:val="20"/>
          <w:szCs w:val="20"/>
        </w:rPr>
        <w:t xml:space="preserve">: </w:t>
      </w:r>
      <w:sdt>
        <w:sdtPr>
          <w:rPr>
            <w:rFonts w:eastAsiaTheme="minorHAnsi" w:cstheme="minorHAnsi"/>
            <w:bCs/>
            <w:color w:val="000000"/>
            <w:sz w:val="20"/>
            <w:szCs w:val="20"/>
          </w:rPr>
          <w:id w:val="-1244727331"/>
          <w:placeholder>
            <w:docPart w:val="DefaultPlaceholder_-1854013440"/>
          </w:placeholder>
          <w:showingPlcHdr/>
        </w:sdtPr>
        <w:sdtContent>
          <w:r w:rsidR="001741A5" w:rsidRPr="00E2137D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</w:p>
    <w:p w14:paraId="142A0887" w14:textId="56BE2060" w:rsidR="003051D2" w:rsidRPr="00E2137D" w:rsidRDefault="0009724A" w:rsidP="003051D2">
      <w:pPr>
        <w:tabs>
          <w:tab w:val="right" w:leader="underscore" w:pos="9270"/>
        </w:tabs>
        <w:autoSpaceDE w:val="0"/>
        <w:autoSpaceDN w:val="0"/>
        <w:adjustRightInd w:val="0"/>
        <w:spacing w:after="120" w:line="240" w:lineRule="auto"/>
        <w:ind w:right="-90"/>
        <w:rPr>
          <w:rFonts w:eastAsiaTheme="minorHAnsi" w:cstheme="minorHAnsi"/>
          <w:bCs/>
          <w:color w:val="000000"/>
          <w:sz w:val="20"/>
          <w:szCs w:val="20"/>
        </w:rPr>
      </w:pPr>
      <w:r w:rsidRPr="00E2137D">
        <w:rPr>
          <w:rFonts w:eastAsiaTheme="minorHAnsi" w:cstheme="minorHAnsi"/>
          <w:bCs/>
          <w:color w:val="000000"/>
          <w:sz w:val="20"/>
          <w:szCs w:val="20"/>
        </w:rPr>
        <w:t>GBP permit</w:t>
      </w:r>
      <w:r w:rsidR="003051D2" w:rsidRPr="00E2137D">
        <w:rPr>
          <w:rFonts w:eastAsiaTheme="minorHAnsi" w:cstheme="minorHAnsi"/>
          <w:bCs/>
          <w:color w:val="000000"/>
          <w:sz w:val="20"/>
          <w:szCs w:val="20"/>
        </w:rPr>
        <w:t xml:space="preserve"> # and expiration date: </w:t>
      </w:r>
      <w:sdt>
        <w:sdtPr>
          <w:rPr>
            <w:rFonts w:eastAsiaTheme="minorHAnsi" w:cstheme="minorHAnsi"/>
            <w:bCs/>
            <w:color w:val="000000"/>
            <w:sz w:val="20"/>
            <w:szCs w:val="20"/>
          </w:rPr>
          <w:id w:val="-1394811214"/>
          <w:placeholder>
            <w:docPart w:val="DefaultPlaceholder_-1854013440"/>
          </w:placeholder>
          <w:showingPlcHdr/>
        </w:sdtPr>
        <w:sdtContent>
          <w:r w:rsidR="001741A5" w:rsidRPr="00E2137D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</w:p>
    <w:p w14:paraId="2B95E714" w14:textId="5D2B2921" w:rsidR="003051D2" w:rsidRPr="00E2137D" w:rsidRDefault="003051D2" w:rsidP="003051D2">
      <w:pPr>
        <w:tabs>
          <w:tab w:val="right" w:leader="underscore" w:pos="9270"/>
        </w:tabs>
        <w:autoSpaceDE w:val="0"/>
        <w:autoSpaceDN w:val="0"/>
        <w:adjustRightInd w:val="0"/>
        <w:spacing w:after="240" w:line="240" w:lineRule="auto"/>
        <w:ind w:right="-86"/>
        <w:rPr>
          <w:rFonts w:eastAsiaTheme="minorHAnsi" w:cstheme="minorHAnsi"/>
          <w:bCs/>
          <w:color w:val="000000"/>
          <w:sz w:val="20"/>
          <w:szCs w:val="20"/>
        </w:rPr>
      </w:pPr>
      <w:r w:rsidRPr="00E2137D">
        <w:rPr>
          <w:rFonts w:eastAsiaTheme="minorHAnsi" w:cstheme="minorHAnsi"/>
          <w:bCs/>
          <w:color w:val="000000"/>
          <w:sz w:val="20"/>
          <w:szCs w:val="20"/>
        </w:rPr>
        <w:t>DEA registration # and expiration date</w:t>
      </w:r>
      <w:r w:rsidR="001741A5" w:rsidRPr="00E2137D">
        <w:rPr>
          <w:rFonts w:eastAsiaTheme="minorHAnsi" w:cstheme="minorHAnsi"/>
          <w:bCs/>
          <w:color w:val="000000"/>
          <w:sz w:val="20"/>
          <w:szCs w:val="20"/>
        </w:rPr>
        <w:t xml:space="preserve">: </w:t>
      </w:r>
      <w:sdt>
        <w:sdtPr>
          <w:rPr>
            <w:rFonts w:eastAsiaTheme="minorHAnsi" w:cstheme="minorHAnsi"/>
            <w:bCs/>
            <w:color w:val="000000"/>
            <w:sz w:val="20"/>
            <w:szCs w:val="20"/>
          </w:rPr>
          <w:id w:val="-743335007"/>
          <w:placeholder>
            <w:docPart w:val="DefaultPlaceholder_-1854013440"/>
          </w:placeholder>
        </w:sdtPr>
        <w:sdtContent>
          <w:sdt>
            <w:sdtPr>
              <w:rPr>
                <w:rFonts w:eastAsiaTheme="minorHAnsi" w:cstheme="minorHAnsi"/>
                <w:bCs/>
                <w:color w:val="000000"/>
                <w:sz w:val="20"/>
                <w:szCs w:val="20"/>
              </w:rPr>
              <w:id w:val="-230167415"/>
              <w:placeholder>
                <w:docPart w:val="DefaultPlaceholder_-1854013440"/>
              </w:placeholder>
              <w:showingPlcHdr/>
            </w:sdtPr>
            <w:sdtContent>
              <w:r w:rsidR="001741A5" w:rsidRPr="00E2137D">
                <w:rPr>
                  <w:rStyle w:val="PlaceholderText"/>
                  <w:rFonts w:cstheme="minorHAnsi"/>
                  <w:sz w:val="20"/>
                  <w:szCs w:val="20"/>
                </w:rPr>
                <w:t>Click or tap here to enter text.</w:t>
              </w:r>
            </w:sdtContent>
          </w:sdt>
        </w:sdtContent>
      </w:sdt>
    </w:p>
    <w:p w14:paraId="6A0C835B" w14:textId="77777777" w:rsidR="00F82F70" w:rsidRPr="00E2137D" w:rsidRDefault="00F82F70" w:rsidP="00F82F70">
      <w:pPr>
        <w:spacing w:line="240" w:lineRule="auto"/>
        <w:jc w:val="center"/>
        <w:rPr>
          <w:rFonts w:cstheme="minorHAnsi"/>
          <w:sz w:val="20"/>
          <w:szCs w:val="20"/>
        </w:rPr>
      </w:pPr>
      <w:r w:rsidRPr="00E2137D">
        <w:rPr>
          <w:rFonts w:cstheme="minorHAnsi"/>
          <w:i/>
          <w:iCs/>
          <w:sz w:val="20"/>
          <w:szCs w:val="20"/>
        </w:rPr>
        <w:t xml:space="preserve">Find the forms detailed in this document at </w:t>
      </w:r>
      <w:hyperlink r:id="rId10" w:history="1">
        <w:r w:rsidRPr="00E2137D">
          <w:rPr>
            <w:rStyle w:val="Hyperlink"/>
            <w:rFonts w:cstheme="minorHAnsi"/>
            <w:i/>
            <w:iCs/>
            <w:sz w:val="20"/>
            <w:szCs w:val="20"/>
          </w:rPr>
          <w:t>https://rcra.emory.edu/oric/controlled-substances/forms.html</w:t>
        </w:r>
      </w:hyperlink>
    </w:p>
    <w:tbl>
      <w:tblPr>
        <w:tblStyle w:val="TableGrid"/>
        <w:tblW w:w="95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15"/>
        <w:gridCol w:w="6300"/>
        <w:gridCol w:w="810"/>
        <w:gridCol w:w="1710"/>
      </w:tblGrid>
      <w:tr w:rsidR="00B03C61" w:rsidRPr="00E2137D" w14:paraId="544AFC75" w14:textId="77777777" w:rsidTr="00DC5EB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CEC169" w14:textId="77777777" w:rsidR="00B03C61" w:rsidRPr="00E2137D" w:rsidRDefault="00B03C61" w:rsidP="00F928EA">
            <w:pPr>
              <w:spacing w:after="0" w:line="240" w:lineRule="auto"/>
              <w:ind w:left="-23"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137D">
              <w:rPr>
                <w:rFonts w:cstheme="minorHAnsi"/>
                <w:b/>
                <w:sz w:val="20"/>
                <w:szCs w:val="20"/>
              </w:rPr>
              <w:t>Item #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DE9624" w14:textId="5236A256" w:rsidR="00B03C61" w:rsidRPr="00E2137D" w:rsidRDefault="00DC5EBC" w:rsidP="00B03C6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137D">
              <w:rPr>
                <w:rFonts w:cstheme="minorHAnsi"/>
                <w:b/>
                <w:sz w:val="20"/>
                <w:szCs w:val="20"/>
              </w:rPr>
              <w:t>Confirm the following</w:t>
            </w:r>
          </w:p>
        </w:tc>
        <w:tc>
          <w:tcPr>
            <w:tcW w:w="810" w:type="dxa"/>
            <w:tcBorders>
              <w:bottom w:val="single" w:sz="4" w:space="0" w:color="404040" w:themeColor="text1" w:themeTint="BF"/>
            </w:tcBorders>
            <w:shd w:val="clear" w:color="auto" w:fill="F2F2F2" w:themeFill="background1" w:themeFillShade="F2"/>
            <w:vAlign w:val="center"/>
          </w:tcPr>
          <w:p w14:paraId="24329103" w14:textId="31B8E084" w:rsidR="00B03C61" w:rsidRPr="00E2137D" w:rsidRDefault="00B03C61" w:rsidP="00B03C61">
            <w:pPr>
              <w:spacing w:after="0" w:line="240" w:lineRule="auto"/>
              <w:ind w:left="-75"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137D">
              <w:rPr>
                <w:rFonts w:cstheme="minorHAnsi"/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1710" w:type="dxa"/>
            <w:tcBorders>
              <w:bottom w:val="single" w:sz="4" w:space="0" w:color="404040" w:themeColor="text1" w:themeTint="BF"/>
            </w:tcBorders>
            <w:shd w:val="clear" w:color="auto" w:fill="F2F2F2" w:themeFill="background1" w:themeFillShade="F2"/>
            <w:vAlign w:val="center"/>
          </w:tcPr>
          <w:p w14:paraId="42F1E0D4" w14:textId="64940978" w:rsidR="00B03C61" w:rsidRPr="00E2137D" w:rsidRDefault="00E2137D" w:rsidP="00B03C61">
            <w:pPr>
              <w:spacing w:after="0" w:line="240" w:lineRule="auto"/>
              <w:ind w:lef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137D">
              <w:rPr>
                <w:rFonts w:cstheme="minorHAnsi"/>
                <w:b/>
                <w:sz w:val="20"/>
                <w:szCs w:val="20"/>
              </w:rPr>
              <w:t>Citations</w:t>
            </w:r>
          </w:p>
        </w:tc>
      </w:tr>
      <w:tr w:rsidR="00933935" w:rsidRPr="00E2137D" w14:paraId="06761953" w14:textId="77777777" w:rsidTr="00EF0CD6"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C3ED5E" w14:textId="77777777" w:rsidR="00933935" w:rsidRPr="00E2137D" w:rsidRDefault="00933935" w:rsidP="002C318A">
            <w:pPr>
              <w:spacing w:after="0" w:line="240" w:lineRule="auto"/>
              <w:ind w:lef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137D">
              <w:rPr>
                <w:rFonts w:cstheme="minorHAnsi"/>
                <w:b/>
                <w:sz w:val="20"/>
                <w:szCs w:val="20"/>
              </w:rPr>
              <w:t>Personnel</w:t>
            </w:r>
          </w:p>
        </w:tc>
      </w:tr>
      <w:tr w:rsidR="00933935" w:rsidRPr="00E2137D" w14:paraId="758D76B8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4763" w14:textId="77777777" w:rsidR="00933935" w:rsidRPr="00E2137D" w:rsidRDefault="006454D6" w:rsidP="00F928EA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90AF" w14:textId="3C0E8A2F" w:rsidR="00933935" w:rsidRPr="00E2137D" w:rsidRDefault="006454D6" w:rsidP="00253873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2137D">
              <w:rPr>
                <w:rFonts w:cstheme="minorHAnsi"/>
                <w:color w:val="000000"/>
                <w:sz w:val="20"/>
                <w:szCs w:val="20"/>
              </w:rPr>
              <w:t>Are all person</w:t>
            </w:r>
            <w:r w:rsidR="00253873" w:rsidRPr="00E2137D"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Pr="00E2137D">
              <w:rPr>
                <w:rFonts w:cstheme="minorHAnsi"/>
                <w:color w:val="000000"/>
                <w:sz w:val="20"/>
                <w:szCs w:val="20"/>
              </w:rPr>
              <w:t xml:space="preserve"> who have access to Controlled Substances listed on a current “</w:t>
            </w:r>
            <w:r w:rsidR="00F517A1">
              <w:rPr>
                <w:rFonts w:cstheme="minorHAnsi"/>
                <w:color w:val="000000"/>
                <w:sz w:val="20"/>
                <w:szCs w:val="20"/>
              </w:rPr>
              <w:t xml:space="preserve">Controlled Substance </w:t>
            </w:r>
            <w:r w:rsidRPr="00E2137D">
              <w:rPr>
                <w:rFonts w:cstheme="minorHAnsi"/>
                <w:color w:val="000000"/>
                <w:sz w:val="20"/>
                <w:szCs w:val="20"/>
              </w:rPr>
              <w:t xml:space="preserve">Access </w:t>
            </w:r>
            <w:r w:rsidR="00F517A1">
              <w:rPr>
                <w:rFonts w:cstheme="minorHAnsi"/>
                <w:color w:val="000000"/>
                <w:sz w:val="20"/>
                <w:szCs w:val="20"/>
              </w:rPr>
              <w:t xml:space="preserve">and Key </w:t>
            </w:r>
            <w:r w:rsidRPr="00E2137D">
              <w:rPr>
                <w:rFonts w:cstheme="minorHAnsi"/>
                <w:color w:val="000000"/>
                <w:sz w:val="20"/>
                <w:szCs w:val="20"/>
              </w:rPr>
              <w:t>Log” [</w:t>
            </w:r>
            <w:hyperlink r:id="rId11" w:history="1">
              <w:r w:rsidRPr="00E65EFB">
                <w:rPr>
                  <w:rStyle w:val="Hyperlink"/>
                  <w:rFonts w:cstheme="minorHAnsi"/>
                  <w:sz w:val="20"/>
                  <w:szCs w:val="20"/>
                </w:rPr>
                <w:t>Form 2]</w:t>
              </w:r>
            </w:hyperlink>
            <w:r w:rsidRPr="00E2137D">
              <w:rPr>
                <w:rFonts w:cstheme="min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5CD2" w14:textId="77777777" w:rsidR="00933935" w:rsidRPr="00E2137D" w:rsidRDefault="00933935" w:rsidP="00B03C61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B68F" w14:textId="69A8F830" w:rsidR="00933935" w:rsidRPr="00E2137D" w:rsidRDefault="00E2137D" w:rsidP="00B03C61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history="1">
              <w:r w:rsidRPr="00E2137D">
                <w:rPr>
                  <w:rFonts w:asciiTheme="minorHAnsi" w:hAnsiTheme="minorHAnsi" w:cstheme="minorHAnsi"/>
                  <w:sz w:val="20"/>
                  <w:szCs w:val="20"/>
                </w:rPr>
                <w:t>§ 21 CFR</w:t>
              </w:r>
              <w:r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r w:rsidR="00E7575F"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1301.71</w:t>
              </w:r>
            </w:hyperlink>
            <w:r w:rsidR="00E706C0" w:rsidRPr="00E2137D">
              <w:rPr>
                <w:rFonts w:asciiTheme="minorHAnsi" w:hAnsiTheme="minorHAnsi" w:cstheme="minorHAnsi"/>
                <w:sz w:val="20"/>
                <w:szCs w:val="20"/>
              </w:rPr>
              <w:t>(b)</w:t>
            </w:r>
            <w:r w:rsidR="000424F3" w:rsidRPr="00E2137D">
              <w:rPr>
                <w:rFonts w:asciiTheme="minorHAnsi" w:hAnsiTheme="minorHAnsi" w:cstheme="minorHAnsi"/>
                <w:sz w:val="20"/>
                <w:szCs w:val="20"/>
              </w:rPr>
              <w:t>(8)</w:t>
            </w:r>
            <w:r w:rsidR="00E7575F"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 Security requirements generally.</w:t>
            </w:r>
          </w:p>
        </w:tc>
      </w:tr>
      <w:tr w:rsidR="006454D6" w:rsidRPr="00E2137D" w14:paraId="6B9699DE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6AD4" w14:textId="77777777" w:rsidR="006454D6" w:rsidRPr="00E2137D" w:rsidRDefault="006454D6" w:rsidP="002C318A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15C4" w14:textId="77777777" w:rsidR="006454D6" w:rsidRPr="00E2137D" w:rsidRDefault="006454D6" w:rsidP="002C318A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2137D">
              <w:rPr>
                <w:rFonts w:cstheme="minorHAnsi"/>
                <w:color w:val="000000"/>
                <w:sz w:val="20"/>
                <w:szCs w:val="20"/>
              </w:rPr>
              <w:t>Is access to Controlled Substances limited to personnel who are assisting in conducting research under the Registrant?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D65E" w14:textId="77777777" w:rsidR="006454D6" w:rsidRPr="00E2137D" w:rsidRDefault="006454D6" w:rsidP="00B03C61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D001" w14:textId="24BD4592" w:rsidR="006454D6" w:rsidRPr="00E2137D" w:rsidRDefault="00E2137D" w:rsidP="00B03C61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 w:history="1">
              <w:r w:rsidRPr="00E2137D">
                <w:rPr>
                  <w:rFonts w:asciiTheme="minorHAnsi" w:hAnsiTheme="minorHAnsi" w:cstheme="minorHAnsi"/>
                  <w:sz w:val="20"/>
                  <w:szCs w:val="20"/>
                </w:rPr>
                <w:t xml:space="preserve">§ 21 CFR </w:t>
              </w:r>
              <w:r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1301.71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424F3" w:rsidRPr="00E2137D">
              <w:rPr>
                <w:rFonts w:asciiTheme="minorHAnsi" w:hAnsiTheme="minorHAnsi" w:cstheme="minorHAnsi"/>
                <w:sz w:val="20"/>
                <w:szCs w:val="20"/>
              </w:rPr>
              <w:t>(b)(11)</w:t>
            </w:r>
            <w:r w:rsidR="009828F2"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 Security requirements generally.</w:t>
            </w:r>
          </w:p>
        </w:tc>
      </w:tr>
      <w:tr w:rsidR="006454D6" w:rsidRPr="00E2137D" w14:paraId="3FD1AC47" w14:textId="77777777" w:rsidTr="00EF0CD6">
        <w:trPr>
          <w:trHeight w:val="43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BBE2" w14:textId="77777777" w:rsidR="006454D6" w:rsidRPr="00E2137D" w:rsidRDefault="006454D6" w:rsidP="002C318A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85AD" w14:textId="3C4EF431" w:rsidR="006454D6" w:rsidRPr="00E2137D" w:rsidRDefault="006454D6" w:rsidP="002C318A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37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Is access to Controlled Substances limited to personnel who have </w:t>
            </w:r>
            <w:r w:rsidRPr="00E2137D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not</w:t>
            </w:r>
            <w:r w:rsidRPr="00E2137D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E2137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had a DEA, GBP, or practitioner license or registration revoked, and do </w:t>
            </w:r>
            <w:r w:rsidRPr="00E2137D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not</w:t>
            </w:r>
            <w:r w:rsidRPr="00E2137D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E2137D">
              <w:rPr>
                <w:rFonts w:eastAsia="Times New Roman" w:cstheme="minorHAnsi"/>
                <w:color w:val="000000"/>
                <w:sz w:val="20"/>
                <w:szCs w:val="20"/>
              </w:rPr>
              <w:t>have a prior criminal history of violations relate</w:t>
            </w:r>
            <w:r w:rsidR="00E76D13" w:rsidRPr="00E2137D">
              <w:rPr>
                <w:rFonts w:eastAsia="Times New Roman" w:cstheme="minorHAnsi"/>
                <w:color w:val="000000"/>
                <w:sz w:val="20"/>
                <w:szCs w:val="20"/>
              </w:rPr>
              <w:t>d</w:t>
            </w:r>
            <w:r w:rsidRPr="00E2137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to Dangerous Drugs or Controlled Substances?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F6A6" w14:textId="77777777" w:rsidR="006454D6" w:rsidRPr="00E2137D" w:rsidRDefault="006454D6" w:rsidP="00B03C61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E5A4" w14:textId="5D1EAB04" w:rsidR="006454D6" w:rsidRPr="00E2137D" w:rsidRDefault="00E2137D" w:rsidP="00B03C61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4" w:history="1">
              <w:r w:rsidRPr="00E2137D">
                <w:rPr>
                  <w:rFonts w:asciiTheme="minorHAnsi" w:hAnsiTheme="minorHAnsi" w:cstheme="minorHAnsi"/>
                  <w:sz w:val="20"/>
                  <w:szCs w:val="20"/>
                </w:rPr>
                <w:t>§ 21 CFR</w:t>
              </w:r>
              <w:r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r w:rsidR="009F129A"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1301.76</w:t>
              </w:r>
            </w:hyperlink>
            <w:r w:rsidR="002035B8" w:rsidRPr="00E2137D">
              <w:rPr>
                <w:rFonts w:asciiTheme="minorHAnsi" w:hAnsiTheme="minorHAnsi" w:cstheme="minorHAnsi"/>
                <w:sz w:val="20"/>
                <w:szCs w:val="20"/>
              </w:rPr>
              <w:t>(a)</w:t>
            </w:r>
            <w:r w:rsidR="009F129A"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 Other security controls for practitioners.</w:t>
            </w:r>
          </w:p>
        </w:tc>
      </w:tr>
      <w:tr w:rsidR="006454D6" w:rsidRPr="00E2137D" w14:paraId="0C628BC2" w14:textId="77777777" w:rsidTr="00EF0CD6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089E" w14:textId="77777777" w:rsidR="006454D6" w:rsidRPr="00E2137D" w:rsidRDefault="006454D6" w:rsidP="002C318A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73A9" w14:textId="4DA253E1" w:rsidR="006454D6" w:rsidRPr="00E2137D" w:rsidRDefault="006454D6" w:rsidP="002C318A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Have all personnel who have access to Controlled Substances signed an “Emory University Employee and Agent Screening Statement” [</w:t>
            </w:r>
            <w:hyperlink r:id="rId15" w:history="1">
              <w:r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Form 3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]?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E133" w14:textId="77777777" w:rsidR="006454D6" w:rsidRPr="00E2137D" w:rsidRDefault="006454D6" w:rsidP="00B03C61">
            <w:pPr>
              <w:spacing w:before="40" w:after="40" w:line="240" w:lineRule="auto"/>
              <w:ind w:left="-7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5451" w14:textId="7882B93B" w:rsidR="006454D6" w:rsidRPr="00E2137D" w:rsidRDefault="00E2137D" w:rsidP="00B03C61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 w:rsidRPr="00E2137D">
              <w:rPr>
                <w:rFonts w:cstheme="minorHAnsi"/>
                <w:sz w:val="20"/>
                <w:szCs w:val="20"/>
              </w:rPr>
              <w:t xml:space="preserve">§ 21 CFR </w:t>
            </w:r>
            <w:hyperlink r:id="rId16" w:history="1">
              <w:r w:rsidRPr="00E2137D">
                <w:rPr>
                  <w:rStyle w:val="Hyperlink"/>
                  <w:rFonts w:cstheme="minorHAnsi"/>
                  <w:sz w:val="20"/>
                  <w:szCs w:val="20"/>
                </w:rPr>
                <w:t>1301.76</w:t>
              </w:r>
            </w:hyperlink>
            <w:r w:rsidR="00323B04" w:rsidRPr="00E2137D">
              <w:rPr>
                <w:rFonts w:cstheme="minorHAnsi"/>
                <w:sz w:val="20"/>
                <w:szCs w:val="20"/>
              </w:rPr>
              <w:t xml:space="preserve"> Other security controls for practitioners.</w:t>
            </w:r>
          </w:p>
        </w:tc>
      </w:tr>
      <w:tr w:rsidR="00502CC2" w:rsidRPr="00E2137D" w14:paraId="3E328896" w14:textId="77777777" w:rsidTr="00EF0CD6">
        <w:trPr>
          <w:trHeight w:val="6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D83" w14:textId="1BD2F63A" w:rsidR="00502CC2" w:rsidRPr="00E2137D" w:rsidRDefault="00F517A1" w:rsidP="00502CC2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538" w14:textId="77777777" w:rsidR="00502CC2" w:rsidRPr="00E2137D" w:rsidRDefault="00502CC2" w:rsidP="00502CC2">
            <w:pPr>
              <w:spacing w:before="40" w:after="40" w:line="240" w:lineRule="auto"/>
              <w:ind w:right="-108"/>
              <w:rPr>
                <w:rFonts w:cstheme="minorHAnsi"/>
                <w:sz w:val="20"/>
                <w:szCs w:val="20"/>
              </w:rPr>
            </w:pPr>
            <w:r w:rsidRPr="00E2137D">
              <w:rPr>
                <w:rFonts w:cstheme="minorHAnsi"/>
                <w:sz w:val="20"/>
                <w:szCs w:val="20"/>
              </w:rPr>
              <w:t>Is access to Controlled Substances limited to the minimum number of personnel required to conduct research using the Controlled Substances?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1BE3" w14:textId="77777777" w:rsidR="00502CC2" w:rsidRPr="00E2137D" w:rsidRDefault="00502CC2" w:rsidP="00502CC2">
            <w:pPr>
              <w:spacing w:before="40" w:after="40" w:line="240" w:lineRule="auto"/>
              <w:ind w:left="-7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A56F" w14:textId="14E2F89F" w:rsidR="00502CC2" w:rsidRPr="00E2137D" w:rsidRDefault="00E2137D" w:rsidP="00502CC2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hyperlink r:id="rId17" w:history="1">
              <w:r w:rsidRPr="00E2137D">
                <w:rPr>
                  <w:rFonts w:cstheme="minorHAnsi"/>
                  <w:sz w:val="20"/>
                  <w:szCs w:val="20"/>
                </w:rPr>
                <w:t>§ 21 CFR</w:t>
              </w:r>
              <w:r w:rsidRPr="00E2137D">
                <w:rPr>
                  <w:rStyle w:val="Hyperlink"/>
                  <w:rFonts w:cstheme="minorHAnsi"/>
                  <w:sz w:val="20"/>
                  <w:szCs w:val="20"/>
                </w:rPr>
                <w:t xml:space="preserve"> 1301.71</w:t>
              </w:r>
            </w:hyperlink>
            <w:r w:rsidRPr="00E2137D">
              <w:rPr>
                <w:rFonts w:cstheme="minorHAnsi"/>
                <w:sz w:val="20"/>
                <w:szCs w:val="20"/>
              </w:rPr>
              <w:t xml:space="preserve"> </w:t>
            </w:r>
            <w:r w:rsidR="0015431E" w:rsidRPr="00E2137D">
              <w:rPr>
                <w:rFonts w:cstheme="minorHAnsi"/>
                <w:sz w:val="20"/>
                <w:szCs w:val="20"/>
              </w:rPr>
              <w:t>(b)(11) Security requirements generally.</w:t>
            </w:r>
          </w:p>
        </w:tc>
      </w:tr>
      <w:tr w:rsidR="00502CC2" w:rsidRPr="00E2137D" w14:paraId="5F965C03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C6AC" w14:textId="45A650FE" w:rsidR="00502CC2" w:rsidRPr="00E2137D" w:rsidRDefault="00F517A1" w:rsidP="00502CC2">
            <w:pPr>
              <w:pStyle w:val="CM5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88B4" w14:textId="76AECE90" w:rsidR="00502CC2" w:rsidRPr="00E2137D" w:rsidRDefault="00502CC2" w:rsidP="00502CC2">
            <w:pPr>
              <w:pStyle w:val="CM5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Have all personnel who have access to Controlled Substances viewed the Office of Research Integrity and Compliance (ORIC) “Use of Controlled Substances in Research” training materials [found at </w:t>
            </w:r>
            <w:hyperlink r:id="rId18" w:history="1">
              <w:r w:rsidRPr="00E2137D">
                <w:rPr>
                  <w:rStyle w:val="Hyperlink"/>
                  <w:rFonts w:asciiTheme="minorHAnsi" w:hAnsiTheme="minorHAnsi" w:cstheme="minorHAnsi"/>
                  <w:i/>
                  <w:iCs/>
                  <w:sz w:val="20"/>
                  <w:szCs w:val="20"/>
                </w:rPr>
                <w:t>https://rcra.emory.edu/oric/controlled-substances/training.html</w:t>
              </w:r>
            </w:hyperlink>
            <w:r w:rsidRPr="00E2137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]?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4187" w14:textId="77777777" w:rsidR="00502CC2" w:rsidRPr="00E2137D" w:rsidRDefault="00502CC2" w:rsidP="00502CC2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8D3E" w14:textId="3CB322DA" w:rsidR="00502CC2" w:rsidRPr="00E2137D" w:rsidRDefault="00502CC2" w:rsidP="00502CC2">
            <w:pPr>
              <w:pStyle w:val="CM5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Best Practice</w:t>
            </w:r>
          </w:p>
        </w:tc>
      </w:tr>
      <w:tr w:rsidR="00502CC2" w:rsidRPr="00E2137D" w14:paraId="1E4111DD" w14:textId="77777777" w:rsidTr="00EF0CD6"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54CCC9" w14:textId="77777777" w:rsidR="00502CC2" w:rsidRPr="00E2137D" w:rsidRDefault="00502CC2" w:rsidP="00502CC2">
            <w:pPr>
              <w:spacing w:after="0" w:line="240" w:lineRule="auto"/>
              <w:ind w:lef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137D">
              <w:rPr>
                <w:rFonts w:cstheme="minorHAnsi"/>
                <w:b/>
                <w:sz w:val="20"/>
                <w:szCs w:val="20"/>
              </w:rPr>
              <w:t>Security</w:t>
            </w:r>
          </w:p>
        </w:tc>
      </w:tr>
      <w:tr w:rsidR="00502CC2" w:rsidRPr="00E2137D" w14:paraId="647B606B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12C4" w14:textId="77777777" w:rsidR="00502CC2" w:rsidRPr="00E2137D" w:rsidRDefault="00502CC2" w:rsidP="00502CC2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CDFB" w14:textId="02704F43" w:rsidR="00502CC2" w:rsidRPr="00E2137D" w:rsidRDefault="00502CC2" w:rsidP="00502CC2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Are all Controlled Substances stored in the room/facility identified on the Registrant’s GBP permit and DEA registration?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FBC9" w14:textId="77777777" w:rsidR="00502CC2" w:rsidRPr="00E2137D" w:rsidRDefault="00502CC2" w:rsidP="00502CC2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338D" w14:textId="41EFC178" w:rsidR="00502CC2" w:rsidRPr="00E2137D" w:rsidRDefault="00E2137D" w:rsidP="00502CC2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9" w:history="1">
              <w:r w:rsidRPr="00E2137D">
                <w:rPr>
                  <w:rFonts w:asciiTheme="minorHAnsi" w:hAnsiTheme="minorHAnsi" w:cstheme="minorHAnsi"/>
                  <w:sz w:val="20"/>
                  <w:szCs w:val="20"/>
                </w:rPr>
                <w:t>§ 21 CFR</w:t>
              </w:r>
              <w:r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r w:rsidR="00D47522"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1301.11</w:t>
              </w:r>
            </w:hyperlink>
            <w:r w:rsidR="00D47522" w:rsidRPr="00E2137D">
              <w:rPr>
                <w:rFonts w:asciiTheme="minorHAnsi" w:hAnsiTheme="minorHAnsi" w:cstheme="minorHAnsi"/>
                <w:sz w:val="20"/>
                <w:szCs w:val="20"/>
              </w:rPr>
              <w:t>(a)</w:t>
            </w:r>
          </w:p>
        </w:tc>
      </w:tr>
      <w:tr w:rsidR="00502CC2" w:rsidRPr="00E2137D" w14:paraId="12BBC4FA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CB8D" w14:textId="77777777" w:rsidR="00502CC2" w:rsidRPr="00E2137D" w:rsidRDefault="00502CC2" w:rsidP="00502CC2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C287" w14:textId="77777777" w:rsidR="00502CC2" w:rsidRPr="00E2137D" w:rsidRDefault="00502CC2" w:rsidP="00502CC2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Are all Controlled Substances stored separately from other chemicals?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9ADE" w14:textId="77777777" w:rsidR="00502CC2" w:rsidRPr="00E2137D" w:rsidRDefault="00502CC2" w:rsidP="00502CC2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3116" w14:textId="5222DB33" w:rsidR="00502CC2" w:rsidRPr="00E2137D" w:rsidRDefault="00E2137D" w:rsidP="00502CC2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0" w:history="1">
              <w:r w:rsidRPr="00E2137D">
                <w:rPr>
                  <w:rFonts w:asciiTheme="minorHAnsi" w:hAnsiTheme="minorHAnsi" w:cstheme="minorHAnsi"/>
                  <w:sz w:val="20"/>
                  <w:szCs w:val="20"/>
                </w:rPr>
                <w:t>§ 21 CFR</w:t>
              </w:r>
              <w:r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1301.71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17D40" w:rsidRPr="00E2137D">
              <w:rPr>
                <w:rFonts w:asciiTheme="minorHAnsi" w:hAnsiTheme="minorHAnsi" w:cstheme="minorHAnsi"/>
                <w:sz w:val="20"/>
                <w:szCs w:val="20"/>
              </w:rPr>
              <w:t>Security requirements generally</w:t>
            </w:r>
            <w:r w:rsidR="00716F4F"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 &amp;</w:t>
            </w:r>
            <w:r w:rsidR="003474C1"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§ 21 CFR </w:t>
            </w:r>
            <w:hyperlink r:id="rId21" w:anchor="1301.72" w:history="1">
              <w:r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</w:t>
              </w:r>
              <w:r w:rsidR="00716F4F"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301.72</w:t>
              </w:r>
            </w:hyperlink>
            <w:r w:rsidR="003474C1" w:rsidRPr="00E2137D">
              <w:rPr>
                <w:rFonts w:asciiTheme="minorHAnsi" w:hAnsiTheme="minorHAnsi" w:cstheme="minorHAnsi"/>
                <w:sz w:val="20"/>
                <w:szCs w:val="20"/>
              </w:rPr>
              <w:t>(b)(8)(ii</w:t>
            </w:r>
          </w:p>
        </w:tc>
      </w:tr>
      <w:tr w:rsidR="00B032F1" w:rsidRPr="00E2137D" w14:paraId="57F9CE2A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B130" w14:textId="617F4011" w:rsidR="00B032F1" w:rsidRPr="00E2137D" w:rsidRDefault="00B032F1" w:rsidP="00502CC2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3536" w14:textId="0FEF05C4" w:rsidR="00B032F1" w:rsidRPr="00B032F1" w:rsidRDefault="00B032F1" w:rsidP="00502CC2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B032F1">
              <w:rPr>
                <w:rFonts w:asciiTheme="minorHAnsi" w:hAnsiTheme="minorHAnsi" w:cstheme="minorHAnsi"/>
                <w:color w:val="212121"/>
                <w:sz w:val="20"/>
                <w:szCs w:val="20"/>
                <w:shd w:val="clear" w:color="auto" w:fill="FAFAFA"/>
              </w:rPr>
              <w:t>A</w:t>
            </w:r>
            <w:r>
              <w:rPr>
                <w:rFonts w:asciiTheme="minorHAnsi" w:hAnsiTheme="minorHAnsi" w:cstheme="minorHAnsi"/>
                <w:color w:val="212121"/>
                <w:sz w:val="20"/>
                <w:szCs w:val="20"/>
                <w:shd w:val="clear" w:color="auto" w:fill="FAFAFA"/>
              </w:rPr>
              <w:t>re a</w:t>
            </w:r>
            <w:r w:rsidRPr="00B032F1">
              <w:rPr>
                <w:rFonts w:asciiTheme="minorHAnsi" w:hAnsiTheme="minorHAnsi" w:cstheme="minorHAnsi"/>
                <w:color w:val="212121"/>
                <w:sz w:val="20"/>
                <w:szCs w:val="20"/>
                <w:shd w:val="clear" w:color="auto" w:fill="FAFAFA"/>
              </w:rPr>
              <w:t>ll controlled substances stored at appropriate temperatures and under appropriate conditions in accordance with labeled requirements</w:t>
            </w:r>
            <w:r>
              <w:rPr>
                <w:rFonts w:asciiTheme="minorHAnsi" w:hAnsiTheme="minorHAnsi" w:cstheme="minorHAnsi"/>
                <w:color w:val="212121"/>
                <w:sz w:val="20"/>
                <w:szCs w:val="20"/>
                <w:shd w:val="clear" w:color="auto" w:fill="FAFAFA"/>
              </w:rPr>
              <w:t>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29FC" w14:textId="77777777" w:rsidR="00B032F1" w:rsidRPr="00E2137D" w:rsidRDefault="00B032F1" w:rsidP="00502CC2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B2CB" w14:textId="74457E48" w:rsidR="00B032F1" w:rsidRPr="00925CD6" w:rsidRDefault="00B032F1" w:rsidP="00502CC2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925CD6"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  <w:t xml:space="preserve">OGCA </w:t>
            </w:r>
            <w:hyperlink r:id="rId22" w:history="1">
              <w:r w:rsidRPr="00925CD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Rule 480-7-.04 (09)</w:t>
              </w:r>
            </w:hyperlink>
          </w:p>
        </w:tc>
      </w:tr>
      <w:tr w:rsidR="00502CC2" w:rsidRPr="00E2137D" w14:paraId="48FE5475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7633" w14:textId="471596AE" w:rsidR="00502CC2" w:rsidRPr="00E2137D" w:rsidRDefault="00925CD6" w:rsidP="00502CC2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5208" w14:textId="684D9946" w:rsidR="00502CC2" w:rsidRPr="00E2137D" w:rsidRDefault="00502CC2" w:rsidP="00502CC2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Are Schedule I Controlled Substances stored in a securely locked, substantially constructed cabinet or safe that is secured by a key or </w:t>
            </w:r>
            <w:r w:rsidRPr="00E2137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combination lock and is securely fastened to the floor or wall so that it cannot be easily removed?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A5AB" w14:textId="77777777" w:rsidR="00502CC2" w:rsidRPr="00E2137D" w:rsidRDefault="00502CC2" w:rsidP="00502CC2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63C4" w14:textId="22BEB7C6" w:rsidR="00502CC2" w:rsidRPr="00E2137D" w:rsidRDefault="00E2137D" w:rsidP="00502CC2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§ 21 CFR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23" w:history="1">
              <w:r w:rsidR="00502CC2"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1301.75</w:t>
              </w:r>
            </w:hyperlink>
            <w:r w:rsidR="00502CC2" w:rsidRPr="00E2137D">
              <w:rPr>
                <w:rFonts w:asciiTheme="minorHAnsi" w:hAnsiTheme="minorHAnsi" w:cstheme="minorHAnsi"/>
                <w:sz w:val="20"/>
                <w:szCs w:val="20"/>
              </w:rPr>
              <w:t>(a)</w:t>
            </w:r>
          </w:p>
        </w:tc>
      </w:tr>
      <w:tr w:rsidR="00502CC2" w:rsidRPr="00E2137D" w14:paraId="07345F17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E8E4" w14:textId="6811CEE7" w:rsidR="00502CC2" w:rsidRPr="00E2137D" w:rsidRDefault="00925CD6" w:rsidP="00502CC2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4B3F" w14:textId="77777777" w:rsidR="00502CC2" w:rsidRPr="00E2137D" w:rsidRDefault="00502CC2" w:rsidP="00502CC2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Are Schedule II-V Controlled Substances stored in a substantially constructed cabinet that is secured by a key or combination lock?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7041" w14:textId="77777777" w:rsidR="00502CC2" w:rsidRPr="00E2137D" w:rsidRDefault="00502CC2" w:rsidP="00502CC2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2237" w14:textId="62B86AD6" w:rsidR="00502CC2" w:rsidRPr="00E2137D" w:rsidRDefault="00E2137D" w:rsidP="00502CC2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§ 21 CFR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24" w:history="1">
              <w:r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1301.75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502CC2" w:rsidRPr="00E2137D" w14:paraId="75A49FB2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B74A" w14:textId="174A98D0" w:rsidR="00502CC2" w:rsidRPr="00E2137D" w:rsidRDefault="00925CD6" w:rsidP="00502CC2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8C18" w14:textId="77777777" w:rsidR="00502CC2" w:rsidRPr="00E2137D" w:rsidRDefault="00502CC2" w:rsidP="00502CC2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Are cabinets/safes storing Controlled Substances of a size and weight that makes transport or concealment difficult?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3215" w14:textId="77777777" w:rsidR="00502CC2" w:rsidRPr="00E2137D" w:rsidRDefault="00502CC2" w:rsidP="00502CC2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46C3" w14:textId="474BE99F" w:rsidR="00502CC2" w:rsidRPr="00E2137D" w:rsidRDefault="0039417E" w:rsidP="00502CC2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§ </w:t>
            </w:r>
            <w:r w:rsidR="00502CC2" w:rsidRPr="00E2137D">
              <w:rPr>
                <w:rFonts w:asciiTheme="minorHAnsi" w:hAnsiTheme="minorHAnsi" w:cstheme="minorHAnsi"/>
                <w:sz w:val="20"/>
                <w:szCs w:val="20"/>
              </w:rPr>
              <w:t>21 CFR</w:t>
            </w:r>
            <w:r w:rsidR="00E21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25" w:history="1">
              <w:r w:rsidR="00502CC2"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1301.72</w:t>
              </w:r>
            </w:hyperlink>
          </w:p>
        </w:tc>
      </w:tr>
      <w:tr w:rsidR="00502CC2" w:rsidRPr="00E2137D" w14:paraId="58B838ED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6F6B" w14:textId="3FBF595E" w:rsidR="00502CC2" w:rsidRPr="00E2137D" w:rsidRDefault="00925CD6" w:rsidP="00502CC2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2A2B" w14:textId="77777777" w:rsidR="00502CC2" w:rsidRPr="00E2137D" w:rsidRDefault="00502CC2" w:rsidP="00502CC2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Are cabinets/safes storing Controlled Substances constructed in a manner so that forced entry is easily detected?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ACB5" w14:textId="77777777" w:rsidR="00502CC2" w:rsidRPr="00E2137D" w:rsidRDefault="00502CC2" w:rsidP="00502CC2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639C" w14:textId="48802661" w:rsidR="00502CC2" w:rsidRPr="00E2137D" w:rsidRDefault="0039417E" w:rsidP="00502CC2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§ </w:t>
            </w:r>
            <w:r w:rsidR="00502CC2"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21 CFR </w:t>
            </w:r>
            <w:hyperlink r:id="rId26" w:history="1">
              <w:r w:rsidR="00502CC2"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1301.72</w:t>
              </w:r>
            </w:hyperlink>
          </w:p>
        </w:tc>
      </w:tr>
      <w:tr w:rsidR="00502CC2" w:rsidRPr="00E2137D" w14:paraId="2DD3DF05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D376" w14:textId="2B78DA51" w:rsidR="00502CC2" w:rsidRPr="00E2137D" w:rsidRDefault="00925CD6" w:rsidP="00502CC2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16E8" w14:textId="4269C24F" w:rsidR="00502CC2" w:rsidRPr="00E2137D" w:rsidRDefault="00502CC2" w:rsidP="00502CC2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Are </w:t>
            </w:r>
            <w:proofErr w:type="spellStart"/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carfentanil</w:t>
            </w:r>
            <w:proofErr w:type="spellEnd"/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, etorphine hydrochloride and/or diprenorphine kept in a safe or steel cabinet that meets GSA Class V security container requirements (i.e., can withstand surreptitious entry, forced entry, lock manipulation and radiological attack?)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8F3C" w14:textId="77777777" w:rsidR="00502CC2" w:rsidRPr="00E2137D" w:rsidRDefault="00502CC2" w:rsidP="00502CC2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92D" w14:textId="1ED3EE1D" w:rsidR="00502CC2" w:rsidRPr="00E2137D" w:rsidRDefault="00502CC2" w:rsidP="00502CC2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21 CFR</w:t>
            </w:r>
            <w:r w:rsidR="00E21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27" w:history="1">
              <w:r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1301.75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(e)</w:t>
            </w:r>
          </w:p>
        </w:tc>
      </w:tr>
      <w:tr w:rsidR="003E3688" w:rsidRPr="00E2137D" w14:paraId="5173358B" w14:textId="77777777" w:rsidTr="002C1BB7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9D68" w14:textId="29013BB7" w:rsidR="003E3688" w:rsidRPr="00E2137D" w:rsidRDefault="00925CD6" w:rsidP="003E3688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6969" w14:textId="77777777" w:rsidR="003E3688" w:rsidRPr="00E2137D" w:rsidRDefault="003E3688" w:rsidP="003E3688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Is the room/facility in which Controlled Substances are stored an area where unauthorized access is easily noticed?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B7B1" w14:textId="77777777" w:rsidR="003E3688" w:rsidRPr="00E2137D" w:rsidRDefault="003E3688" w:rsidP="003E3688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ACE9" w14:textId="6D560338" w:rsidR="003E3688" w:rsidRPr="00E2137D" w:rsidRDefault="00E2137D" w:rsidP="003E3688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21 CFR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28" w:history="1">
              <w:r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§ 1301.71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3688" w:rsidRPr="00E2137D">
              <w:rPr>
                <w:rFonts w:asciiTheme="minorHAnsi" w:hAnsiTheme="minorHAnsi" w:cstheme="minorHAnsi"/>
                <w:sz w:val="20"/>
                <w:szCs w:val="20"/>
              </w:rPr>
              <w:t>(b)(1</w:t>
            </w:r>
            <w:r w:rsidR="002B2814" w:rsidRPr="00E2137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3E3688" w:rsidRPr="00E2137D">
              <w:rPr>
                <w:rFonts w:asciiTheme="minorHAnsi" w:hAnsiTheme="minorHAnsi" w:cstheme="minorHAnsi"/>
                <w:sz w:val="20"/>
                <w:szCs w:val="20"/>
              </w:rPr>
              <w:t>) Security requirements generally.</w:t>
            </w:r>
          </w:p>
        </w:tc>
      </w:tr>
      <w:tr w:rsidR="00786ACB" w:rsidRPr="00E2137D" w14:paraId="6E5F8F75" w14:textId="77777777" w:rsidTr="003E165D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F99A" w14:textId="5E520822" w:rsidR="00786ACB" w:rsidRPr="00E2137D" w:rsidRDefault="00925CD6" w:rsidP="00786ACB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5633" w14:textId="5F957AA0" w:rsidR="00786ACB" w:rsidRPr="00E2137D" w:rsidRDefault="00786ACB" w:rsidP="00786ACB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Is the room/facility in which Controlled Substances are stored locked when not in use?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A06C" w14:textId="77777777" w:rsidR="00786ACB" w:rsidRPr="00E2137D" w:rsidRDefault="00786ACB" w:rsidP="00786ACB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0410" w14:textId="17C67FBF" w:rsidR="00786ACB" w:rsidRPr="00E2137D" w:rsidRDefault="00E2137D" w:rsidP="00786ACB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21 CFR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29" w:history="1">
              <w:r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§ 1301.71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86ACB" w:rsidRPr="00E2137D">
              <w:rPr>
                <w:rFonts w:asciiTheme="minorHAnsi" w:hAnsiTheme="minorHAnsi" w:cstheme="minorHAnsi"/>
                <w:sz w:val="20"/>
                <w:szCs w:val="20"/>
              </w:rPr>
              <w:t>(b)(9) Security requirements generally.</w:t>
            </w:r>
          </w:p>
        </w:tc>
      </w:tr>
      <w:tr w:rsidR="00786ACB" w:rsidRPr="00E2137D" w14:paraId="40C1FF14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7DCD" w14:textId="30961E52" w:rsidR="00786ACB" w:rsidRPr="00E2137D" w:rsidRDefault="00786ACB" w:rsidP="00786ACB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25CD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1CE1" w14:textId="77777777" w:rsidR="00786ACB" w:rsidRPr="00E2137D" w:rsidRDefault="00786ACB" w:rsidP="00786ACB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Are lock combinations and keys to the room in which Controlled Substances are stored limited to personnel authorized to have access to the room?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C3CB" w14:textId="77777777" w:rsidR="00786ACB" w:rsidRPr="00E2137D" w:rsidRDefault="00786ACB" w:rsidP="00786ACB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3DB5" w14:textId="351F745D" w:rsidR="00786ACB" w:rsidRPr="00E2137D" w:rsidRDefault="00E2137D" w:rsidP="00786ACB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21 CFR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30" w:history="1">
              <w:r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§ 1301.71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23E7" w:rsidRPr="00E2137D">
              <w:rPr>
                <w:rFonts w:asciiTheme="minorHAnsi" w:hAnsiTheme="minorHAnsi" w:cstheme="minorHAnsi"/>
                <w:sz w:val="20"/>
                <w:szCs w:val="20"/>
              </w:rPr>
              <w:t>(b)(8) Security requirements generally.</w:t>
            </w:r>
          </w:p>
        </w:tc>
      </w:tr>
      <w:tr w:rsidR="00E11ECB" w:rsidRPr="00E2137D" w14:paraId="5EBC23F6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030" w14:textId="06C1E21A" w:rsidR="00E11ECB" w:rsidRPr="00E2137D" w:rsidRDefault="00E11ECB" w:rsidP="00E11ECB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25CD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DE0C" w14:textId="77777777" w:rsidR="00E11ECB" w:rsidRPr="00E2137D" w:rsidRDefault="00E11ECB" w:rsidP="00E11ECB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Are lock combination and keys to the safe/cabinet in which Controlled Substances are stored limited to personnel authorized to access Controlled Substances?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2888" w14:textId="77777777" w:rsidR="00E11ECB" w:rsidRPr="00E2137D" w:rsidRDefault="00E11ECB" w:rsidP="00E11ECB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CFC2" w14:textId="12BFF38C" w:rsidR="00E11ECB" w:rsidRPr="00E2137D" w:rsidRDefault="00E2137D" w:rsidP="00E11ECB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21 CFR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31" w:history="1">
              <w:r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§ 1301.71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11ECB" w:rsidRPr="00E2137D">
              <w:rPr>
                <w:rFonts w:asciiTheme="minorHAnsi" w:hAnsiTheme="minorHAnsi" w:cstheme="minorHAnsi"/>
                <w:sz w:val="20"/>
                <w:szCs w:val="20"/>
              </w:rPr>
              <w:t>(b)(8) Security requirements generally.</w:t>
            </w:r>
          </w:p>
        </w:tc>
      </w:tr>
      <w:tr w:rsidR="00E11ECB" w:rsidRPr="00E2137D" w14:paraId="099D0D16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7014" w14:textId="74DC306C" w:rsidR="00E11ECB" w:rsidRPr="00E2137D" w:rsidRDefault="00E11ECB" w:rsidP="00E11ECB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25CD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95B1" w14:textId="77777777" w:rsidR="00E11ECB" w:rsidRPr="00E2137D" w:rsidRDefault="00E11ECB" w:rsidP="00E11ECB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Are all relevant lock combinations changed and keys returned upon termination of an authorized personnel’s engagement in the Registrant’s facility?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8CD5" w14:textId="77777777" w:rsidR="00E11ECB" w:rsidRPr="00E2137D" w:rsidRDefault="00E11ECB" w:rsidP="00E11ECB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7F93" w14:textId="68EEFA94" w:rsidR="00E11ECB" w:rsidRPr="00E2137D" w:rsidRDefault="00E2137D" w:rsidP="00E11ECB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21 CFR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32" w:history="1">
              <w:r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§ 1301.71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11ECB" w:rsidRPr="00E2137D">
              <w:rPr>
                <w:rFonts w:asciiTheme="minorHAnsi" w:hAnsiTheme="minorHAnsi" w:cstheme="minorHAnsi"/>
                <w:sz w:val="20"/>
                <w:szCs w:val="20"/>
              </w:rPr>
              <w:t>(b)(8) Security requirements generally.</w:t>
            </w:r>
          </w:p>
        </w:tc>
      </w:tr>
      <w:tr w:rsidR="004A40B1" w:rsidRPr="00E2137D" w14:paraId="1CE70DB4" w14:textId="77777777" w:rsidTr="004A40B1"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C803110" w14:textId="72DC90DD" w:rsidR="004A40B1" w:rsidRPr="00E2137D" w:rsidRDefault="0093279B" w:rsidP="00786ACB">
            <w:pPr>
              <w:spacing w:after="0" w:line="240" w:lineRule="auto"/>
              <w:ind w:lef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137D">
              <w:rPr>
                <w:rFonts w:cstheme="minorHAnsi"/>
                <w:b/>
                <w:sz w:val="20"/>
                <w:szCs w:val="20"/>
              </w:rPr>
              <w:t>All the above is</w:t>
            </w:r>
            <w:r w:rsidR="00E63B52" w:rsidRPr="00E2137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55836" w:rsidRPr="00E2137D">
              <w:rPr>
                <w:rFonts w:cstheme="minorHAnsi"/>
                <w:b/>
                <w:sz w:val="20"/>
                <w:szCs w:val="20"/>
              </w:rPr>
              <w:t>used by DEA to determine if the Registrant has a</w:t>
            </w:r>
            <w:r w:rsidR="004A40B1" w:rsidRPr="00E2137D">
              <w:rPr>
                <w:rFonts w:cstheme="minorHAnsi"/>
                <w:b/>
                <w:sz w:val="20"/>
                <w:szCs w:val="20"/>
              </w:rPr>
              <w:t>dequate control o</w:t>
            </w:r>
            <w:r w:rsidRPr="00E2137D">
              <w:rPr>
                <w:rFonts w:cstheme="minorHAnsi"/>
                <w:b/>
                <w:sz w:val="20"/>
                <w:szCs w:val="20"/>
              </w:rPr>
              <w:t>ver the controlled substances</w:t>
            </w:r>
            <w:r w:rsidR="00255836" w:rsidRPr="00E2137D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C646EC" w:rsidRPr="00E2137D">
              <w:rPr>
                <w:rFonts w:cstheme="minorHAnsi"/>
                <w:b/>
                <w:sz w:val="20"/>
                <w:szCs w:val="20"/>
              </w:rPr>
              <w:t>21 USC  823 (</w:t>
            </w:r>
            <w:r w:rsidR="00D90F0D" w:rsidRPr="00E2137D">
              <w:rPr>
                <w:rFonts w:cstheme="minorHAnsi"/>
                <w:b/>
                <w:sz w:val="20"/>
                <w:szCs w:val="20"/>
              </w:rPr>
              <w:t>g) Failure</w:t>
            </w:r>
            <w:r w:rsidR="00C646EC" w:rsidRPr="00E2137D">
              <w:rPr>
                <w:rFonts w:cstheme="minorHAnsi"/>
                <w:b/>
                <w:sz w:val="20"/>
                <w:szCs w:val="20"/>
              </w:rPr>
              <w:t xml:space="preserve"> to </w:t>
            </w:r>
            <w:r w:rsidR="00941BDB" w:rsidRPr="00E2137D">
              <w:rPr>
                <w:rFonts w:cstheme="minorHAnsi"/>
                <w:b/>
                <w:sz w:val="20"/>
                <w:szCs w:val="20"/>
              </w:rPr>
              <w:t xml:space="preserve">maintain control could result in the loss of license. </w:t>
            </w:r>
          </w:p>
        </w:tc>
      </w:tr>
      <w:tr w:rsidR="00786ACB" w:rsidRPr="00E2137D" w14:paraId="02F85687" w14:textId="77777777" w:rsidTr="00EF0CD6"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BC102" w14:textId="77777777" w:rsidR="00786ACB" w:rsidRPr="00E2137D" w:rsidRDefault="00786ACB" w:rsidP="00786ACB">
            <w:pPr>
              <w:spacing w:after="0" w:line="240" w:lineRule="auto"/>
              <w:ind w:lef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137D">
              <w:rPr>
                <w:rFonts w:cstheme="minorHAnsi"/>
                <w:b/>
                <w:sz w:val="20"/>
                <w:szCs w:val="20"/>
              </w:rPr>
              <w:t>Records and Labeling</w:t>
            </w:r>
          </w:p>
        </w:tc>
      </w:tr>
      <w:tr w:rsidR="00786ACB" w:rsidRPr="00E2137D" w14:paraId="6A17A8C0" w14:textId="77777777" w:rsidTr="00C45957">
        <w:trPr>
          <w:trHeight w:val="8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22A2" w14:textId="77777777" w:rsidR="00786ACB" w:rsidRPr="00E2137D" w:rsidRDefault="00786ACB" w:rsidP="00D90F0D">
            <w:pPr>
              <w:pStyle w:val="CM5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4D10" w14:textId="5E8E23AD" w:rsidR="00786ACB" w:rsidRPr="00E2137D" w:rsidRDefault="00786ACB" w:rsidP="00D90F0D">
            <w:pPr>
              <w:pStyle w:val="CM5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Is the GDNA Researcher Permit Inspection Form and any other documentation received in your files?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2FBA" w14:textId="77777777" w:rsidR="00786ACB" w:rsidRPr="00E2137D" w:rsidRDefault="00786ACB" w:rsidP="00D90F0D">
            <w:pPr>
              <w:pStyle w:val="CM5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BA0A" w14:textId="2C0AE25D" w:rsidR="00786ACB" w:rsidRPr="00E2137D" w:rsidRDefault="00786ACB" w:rsidP="00D90F0D">
            <w:pPr>
              <w:pStyle w:val="Heading2"/>
              <w:shd w:val="clear" w:color="auto" w:fill="FFFFFF"/>
              <w:spacing w:before="0" w:line="240" w:lineRule="auto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</w:rPr>
            </w:pPr>
            <w:hyperlink r:id="rId33" w:tgtFrame="_blank" w:history="1">
              <w:r w:rsidRPr="00E2137D">
                <w:rPr>
                  <w:rStyle w:val="Hyperlink"/>
                  <w:rFonts w:asciiTheme="minorHAnsi" w:hAnsiTheme="minorHAnsi" w:cstheme="minorHAnsi"/>
                  <w:color w:val="1A0DAB"/>
                  <w:sz w:val="20"/>
                  <w:szCs w:val="20"/>
                </w:rPr>
                <w:t xml:space="preserve">21 U.S. Code § 205 </w:t>
              </w:r>
            </w:hyperlink>
          </w:p>
          <w:p w14:paraId="5339C3C1" w14:textId="4B7CC6F2" w:rsidR="00786ACB" w:rsidRPr="00E2137D" w:rsidRDefault="00D8296E" w:rsidP="00D90F0D">
            <w:pPr>
              <w:pStyle w:val="CM5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GBP only</w:t>
            </w:r>
          </w:p>
        </w:tc>
      </w:tr>
      <w:tr w:rsidR="00786ACB" w:rsidRPr="00E2137D" w14:paraId="1C8E0859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C9FC" w14:textId="77777777" w:rsidR="00786ACB" w:rsidRPr="00E2137D" w:rsidRDefault="00786ACB" w:rsidP="00786ACB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822B" w14:textId="76FCF223" w:rsidR="00786ACB" w:rsidRPr="00E2137D" w:rsidRDefault="00786ACB" w:rsidP="00786ACB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Is the Drug Enforcement Agency (DEA) Registration Certificate Form and any other documentation received in your files?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7940" w14:textId="77777777" w:rsidR="00786ACB" w:rsidRPr="00E2137D" w:rsidRDefault="00786ACB" w:rsidP="00786ACB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469F" w14:textId="16596365" w:rsidR="00786ACB" w:rsidRPr="00E2137D" w:rsidRDefault="00786ACB" w:rsidP="00786ACB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21 CFR </w:t>
            </w:r>
            <w:hyperlink r:id="rId34" w:history="1">
              <w:r w:rsidRPr="006A789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1301.35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(c)</w:t>
            </w:r>
          </w:p>
        </w:tc>
      </w:tr>
      <w:tr w:rsidR="00786ACB" w:rsidRPr="00E2137D" w14:paraId="57336F9E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F5DB" w14:textId="77777777" w:rsidR="00786ACB" w:rsidRPr="00E2137D" w:rsidRDefault="00786ACB" w:rsidP="00786ACB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9CE4" w14:textId="051FDE3B" w:rsidR="00786ACB" w:rsidRPr="00E2137D" w:rsidRDefault="00786ACB" w:rsidP="00786ACB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Has an initial inventory of all Controlled Substances been performed and recorded [</w:t>
            </w:r>
            <w:hyperlink r:id="rId35" w:history="1">
              <w:r w:rsidR="001B533E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]?</w:t>
            </w:r>
            <w:r w:rsidR="007E09C8">
              <w:rPr>
                <w:rFonts w:asciiTheme="minorHAnsi" w:hAnsiTheme="minorHAnsi" w:cstheme="minorHAnsi"/>
                <w:sz w:val="20"/>
                <w:szCs w:val="20"/>
              </w:rPr>
              <w:t xml:space="preserve"> This is only required for new </w:t>
            </w:r>
            <w:r w:rsidR="001B533E">
              <w:rPr>
                <w:rFonts w:asciiTheme="minorHAnsi" w:hAnsiTheme="minorHAnsi" w:cstheme="minorHAnsi"/>
                <w:sz w:val="20"/>
                <w:szCs w:val="20"/>
              </w:rPr>
              <w:t>registrants,</w:t>
            </w:r>
            <w:r w:rsidR="007E09C8">
              <w:rPr>
                <w:rFonts w:asciiTheme="minorHAnsi" w:hAnsiTheme="minorHAnsi" w:cstheme="minorHAnsi"/>
                <w:sz w:val="20"/>
                <w:szCs w:val="20"/>
              </w:rPr>
              <w:t xml:space="preserve"> and this must be kept for 2 years.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9180" w14:textId="77777777" w:rsidR="00786ACB" w:rsidRPr="00E2137D" w:rsidRDefault="00786ACB" w:rsidP="00786ACB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9798" w14:textId="390CE366" w:rsidR="00786ACB" w:rsidRPr="00E2137D" w:rsidRDefault="00786ACB" w:rsidP="00786ACB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21 U.S.C. 827(a)(1); 21 CFR </w:t>
            </w:r>
            <w:hyperlink r:id="rId36" w:history="1">
              <w:r w:rsidRPr="006A789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1304.11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(b)</w:t>
            </w:r>
          </w:p>
        </w:tc>
      </w:tr>
      <w:tr w:rsidR="00786ACB" w:rsidRPr="00E2137D" w14:paraId="0449DA51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F296" w14:textId="77777777" w:rsidR="00786ACB" w:rsidRPr="00E2137D" w:rsidRDefault="00786ACB" w:rsidP="00786ACB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5DCE" w14:textId="4D1C984A" w:rsidR="00786ACB" w:rsidRPr="00E2137D" w:rsidRDefault="00786ACB" w:rsidP="00786ACB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Have subsequent inventories of Controlled Substances been performed and recorded every 24 months thereafter [</w:t>
            </w:r>
            <w:hyperlink r:id="rId37" w:history="1">
              <w:r w:rsidR="001B533E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]?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5E50" w14:textId="77777777" w:rsidR="00786ACB" w:rsidRPr="00E2137D" w:rsidRDefault="00786ACB" w:rsidP="00786ACB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D890" w14:textId="00522214" w:rsidR="00786ACB" w:rsidRPr="00E2137D" w:rsidRDefault="00786ACB" w:rsidP="00786ACB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21 CFR </w:t>
            </w:r>
            <w:hyperlink r:id="rId38" w:history="1">
              <w:r w:rsidRPr="006A789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1304.11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(c)</w:t>
            </w:r>
          </w:p>
        </w:tc>
      </w:tr>
      <w:tr w:rsidR="00786ACB" w:rsidRPr="00E2137D" w14:paraId="412F5FE5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0C47" w14:textId="77777777" w:rsidR="00786ACB" w:rsidRPr="00E2137D" w:rsidRDefault="00786ACB" w:rsidP="00786ACB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B1C6" w14:textId="71210CD0" w:rsidR="00786ACB" w:rsidRPr="00E2137D" w:rsidRDefault="00786ACB" w:rsidP="00786ACB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Is all original documentation of orders and receipts for Controlled Substances maintained on file (including copies of DEA Form 222 for orders of Schedule I and II Controlled Substances)?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B254" w14:textId="77777777" w:rsidR="00786ACB" w:rsidRPr="00E2137D" w:rsidRDefault="00786ACB" w:rsidP="00786ACB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F93D" w14:textId="41EE6F2E" w:rsidR="00786ACB" w:rsidRPr="00E2137D" w:rsidRDefault="00786ACB" w:rsidP="00786ACB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21 CFR. </w:t>
            </w:r>
            <w:hyperlink r:id="rId39" w:history="1">
              <w:r w:rsidRPr="006A789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1305.17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(a)</w:t>
            </w:r>
          </w:p>
        </w:tc>
      </w:tr>
      <w:tr w:rsidR="00786ACB" w:rsidRPr="00E2137D" w14:paraId="1AE0D25E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99A6" w14:textId="77777777" w:rsidR="00786ACB" w:rsidRPr="00E2137D" w:rsidRDefault="00786ACB" w:rsidP="00786ACB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5DC2" w14:textId="5D0B38E8" w:rsidR="00786ACB" w:rsidRPr="00E2137D" w:rsidRDefault="00786ACB" w:rsidP="00786ACB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Are all orders and receipts of Controlled Substances logged, including PO</w:t>
            </w:r>
            <w:r w:rsidR="00CE0993" w:rsidRPr="00E2137D">
              <w:rPr>
                <w:rFonts w:asciiTheme="minorHAnsi" w:hAnsiTheme="minorHAnsi" w:cstheme="minorHAnsi"/>
                <w:sz w:val="20"/>
                <w:szCs w:val="20"/>
              </w:rPr>
              <w:t>/invoice</w:t>
            </w: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 and DEA Form 222 number, supplier name, dates, amounts, and any discrepancies between drug ordered and drug received [</w:t>
            </w:r>
            <w:hyperlink r:id="rId40" w:history="1">
              <w:r w:rsidRPr="00E65EF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Form 8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hyperlink r:id="rId41" w:history="1">
              <w:r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Form 9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]?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96E5" w14:textId="77777777" w:rsidR="00786ACB" w:rsidRPr="00E2137D" w:rsidRDefault="00786ACB" w:rsidP="00786ACB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748C" w14:textId="04D36BF8" w:rsidR="00786ACB" w:rsidRPr="00E2137D" w:rsidRDefault="00786ACB" w:rsidP="00786ACB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21 CFR. </w:t>
            </w:r>
            <w:hyperlink r:id="rId42" w:history="1">
              <w:r w:rsidRPr="006A789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1305.17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(a)</w:t>
            </w:r>
          </w:p>
          <w:p w14:paraId="351FAA9B" w14:textId="7156F25F" w:rsidR="00786ACB" w:rsidRPr="00E2137D" w:rsidRDefault="00786ACB" w:rsidP="00786ACB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Pr="00A53A07">
                <w:rPr>
                  <w:rStyle w:val="Hyperlink"/>
                  <w:rFonts w:cstheme="minorHAnsi"/>
                  <w:sz w:val="20"/>
                  <w:szCs w:val="20"/>
                </w:rPr>
                <w:t>1304</w:t>
              </w:r>
            </w:hyperlink>
            <w:r w:rsidRPr="00E2137D">
              <w:rPr>
                <w:rFonts w:cstheme="minorHAnsi"/>
                <w:sz w:val="20"/>
                <w:szCs w:val="20"/>
              </w:rPr>
              <w:t>.2</w:t>
            </w:r>
            <w:r w:rsidR="00396005" w:rsidRPr="00E2137D">
              <w:rPr>
                <w:rFonts w:cstheme="minorHAnsi"/>
                <w:sz w:val="20"/>
                <w:szCs w:val="20"/>
              </w:rPr>
              <w:t>2</w:t>
            </w:r>
            <w:r w:rsidRPr="00E2137D">
              <w:rPr>
                <w:rFonts w:cstheme="minorHAnsi"/>
                <w:sz w:val="20"/>
                <w:szCs w:val="20"/>
              </w:rPr>
              <w:t>(a), (d)</w:t>
            </w:r>
          </w:p>
        </w:tc>
      </w:tr>
      <w:tr w:rsidR="00786ACB" w:rsidRPr="00E2137D" w14:paraId="5608A609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B3E9" w14:textId="0D30FC49" w:rsidR="00786ACB" w:rsidRPr="00E2137D" w:rsidRDefault="00786ACB" w:rsidP="00786ACB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CBDD" w14:textId="196AB76A" w:rsidR="00786ACB" w:rsidRPr="00E2137D" w:rsidRDefault="00786ACB" w:rsidP="00786ACB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Has the purchaser’s copy of DEA Form 222 been annotated to show quantity of controlled substances received and date of receipt?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8512" w14:textId="77777777" w:rsidR="00786ACB" w:rsidRPr="00E2137D" w:rsidRDefault="00786ACB" w:rsidP="00786ACB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EEB0" w14:textId="7528C24F" w:rsidR="00786ACB" w:rsidRPr="00E2137D" w:rsidRDefault="00786ACB" w:rsidP="00786ACB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21 CFR. </w:t>
            </w:r>
            <w:hyperlink r:id="rId44" w:history="1">
              <w:r w:rsidRPr="00A53A0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1305.13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 (e)</w:t>
            </w:r>
          </w:p>
        </w:tc>
      </w:tr>
      <w:tr w:rsidR="00786ACB" w:rsidRPr="00E2137D" w14:paraId="7AE6DD0B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A983" w14:textId="75DE5DC1" w:rsidR="00786ACB" w:rsidRPr="00E2137D" w:rsidRDefault="00786ACB" w:rsidP="00786ACB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C29B" w14:textId="161FD830" w:rsidR="00786ACB" w:rsidRPr="00E2137D" w:rsidRDefault="00786ACB" w:rsidP="00786ACB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Did you have any defective DEA Form</w:t>
            </w:r>
            <w:r w:rsidR="001B533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 222? If so, do you have the reason to return </w:t>
            </w:r>
            <w:r w:rsidR="003601A7" w:rsidRPr="00E2137D">
              <w:rPr>
                <w:rFonts w:asciiTheme="minorHAnsi" w:hAnsiTheme="minorHAnsi" w:cstheme="minorHAnsi"/>
                <w:sz w:val="20"/>
                <w:szCs w:val="20"/>
              </w:rPr>
              <w:t>stapled</w:t>
            </w: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 to the defective DEA Form 222?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A11B" w14:textId="77777777" w:rsidR="00786ACB" w:rsidRPr="00E2137D" w:rsidRDefault="00786ACB" w:rsidP="00786ACB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58C2" w14:textId="44229C9B" w:rsidR="00786ACB" w:rsidRPr="00E2137D" w:rsidRDefault="00786ACB" w:rsidP="00786ACB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21 CFR. </w:t>
            </w:r>
            <w:hyperlink r:id="rId45" w:history="1">
              <w:r w:rsidRPr="006A789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1305.17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4D4455" w:rsidRPr="00E2137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786ACB" w:rsidRPr="00E2137D" w14:paraId="7F91205A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1802" w14:textId="25B944F9" w:rsidR="00786ACB" w:rsidRPr="00E2137D" w:rsidRDefault="005743BF" w:rsidP="00786ACB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DB3C" w14:textId="6FCFD1C0" w:rsidR="00786ACB" w:rsidRPr="00E2137D" w:rsidRDefault="00786ACB" w:rsidP="00786ACB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If Schedule I or II Controlled Substances are ordered by a person other than the Registrant, has an appropriate “DEA Power of Attorney” form been executed [</w:t>
            </w:r>
            <w:hyperlink r:id="rId46" w:history="1">
              <w:r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Form 10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]?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4823" w14:textId="77777777" w:rsidR="00786ACB" w:rsidRPr="00E2137D" w:rsidRDefault="00786ACB" w:rsidP="00786ACB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6186" w14:textId="23F1BD66" w:rsidR="00786ACB" w:rsidRPr="00E2137D" w:rsidRDefault="00786ACB" w:rsidP="00786ACB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21 CFR </w:t>
            </w:r>
            <w:hyperlink r:id="rId47" w:history="1">
              <w:r w:rsidRPr="006A789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1305.05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(a)</w:t>
            </w:r>
          </w:p>
        </w:tc>
      </w:tr>
      <w:tr w:rsidR="00786ACB" w:rsidRPr="00E2137D" w14:paraId="3A2AB42B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1241" w14:textId="2EC7453A" w:rsidR="00786ACB" w:rsidRPr="00E2137D" w:rsidRDefault="005743BF" w:rsidP="00786ACB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47AB" w14:textId="1292F6F3" w:rsidR="00786ACB" w:rsidRPr="00E2137D" w:rsidRDefault="00786ACB" w:rsidP="00786ACB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For each primary container of Controlled Substances, is usage tracked on a log, including beginning amounts, dates used, personnel who used the drug, and balance after each use [</w:t>
            </w:r>
            <w:hyperlink r:id="rId48" w:history="1">
              <w:r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Form 7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]?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2EEE" w14:textId="77777777" w:rsidR="00786ACB" w:rsidRPr="00E2137D" w:rsidRDefault="00786ACB" w:rsidP="00786ACB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490F" w14:textId="37610857" w:rsidR="00786ACB" w:rsidRPr="00E2137D" w:rsidRDefault="00786ACB" w:rsidP="00786ACB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21 CFR </w:t>
            </w:r>
            <w:hyperlink r:id="rId49" w:history="1">
              <w:r w:rsidRPr="006A789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1304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.22(c)</w:t>
            </w:r>
          </w:p>
        </w:tc>
      </w:tr>
      <w:tr w:rsidR="00786ACB" w:rsidRPr="00E2137D" w14:paraId="7E9FFF8F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A8DF" w14:textId="750BF7AA" w:rsidR="00786ACB" w:rsidRPr="00E2137D" w:rsidRDefault="00786ACB" w:rsidP="00786ACB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86024" w:rsidRPr="00E2137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1EEB" w14:textId="50BF8755" w:rsidR="00786ACB" w:rsidRPr="00E2137D" w:rsidRDefault="00786ACB" w:rsidP="00786ACB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Are all primary bottles of Controlled Substances kept in their original container with appropriate labelling, including expiration date?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0824" w14:textId="77777777" w:rsidR="00786ACB" w:rsidRPr="00E2137D" w:rsidRDefault="00786ACB" w:rsidP="00786ACB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4710" w14:textId="683D97CC" w:rsidR="00786ACB" w:rsidRPr="00E2137D" w:rsidRDefault="0084514C" w:rsidP="00786ACB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§ </w:t>
            </w:r>
            <w:hyperlink r:id="rId50" w:history="1">
              <w:r w:rsidRPr="006A789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16-13-75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 - Drugs to be kept in original container</w:t>
            </w:r>
          </w:p>
        </w:tc>
      </w:tr>
      <w:tr w:rsidR="00786ACB" w:rsidRPr="00E2137D" w14:paraId="410967BD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C67A" w14:textId="3293F688" w:rsidR="00786ACB" w:rsidRPr="00E2137D" w:rsidRDefault="00786ACB" w:rsidP="00786ACB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86024" w:rsidRPr="00E2137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EDEB" w14:textId="769E0459" w:rsidR="00786ACB" w:rsidRPr="00E2137D" w:rsidRDefault="00786ACB" w:rsidP="00786ACB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Are all secondary bottles (dilutions from a primary bottle) of Controlled Substances kept in containers labelled with the drug name,</w:t>
            </w:r>
            <w:r w:rsidR="009C6A89"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 schedule,</w:t>
            </w: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 drug concentration, expiration date (copied from the original vial), initials of the person who transferred the drug, and unique container identification [</w:t>
            </w:r>
            <w:hyperlink r:id="rId51" w:history="1">
              <w:r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Form 11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]?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21AB" w14:textId="77777777" w:rsidR="00786ACB" w:rsidRPr="00E2137D" w:rsidRDefault="00786ACB" w:rsidP="00786ACB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7A08" w14:textId="32364CE3" w:rsidR="00786ACB" w:rsidRPr="00E2137D" w:rsidRDefault="006A7896" w:rsidP="00786ACB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§</w:t>
            </w:r>
            <w:r w:rsidR="003A5818"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21 CFR </w:t>
            </w:r>
            <w:hyperlink r:id="rId52" w:history="1">
              <w:r w:rsidR="003A5818" w:rsidRPr="006A789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1302</w:t>
              </w:r>
            </w:hyperlink>
            <w:r w:rsidR="003A5818"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C38AE" w:rsidRPr="00E2137D">
              <w:rPr>
                <w:rFonts w:asciiTheme="minorHAnsi" w:hAnsiTheme="minorHAnsi" w:cstheme="minorHAnsi"/>
                <w:sz w:val="20"/>
                <w:szCs w:val="20"/>
              </w:rPr>
              <w:t>LABELING AND PACKAGING REQUIREMENTS FOR CONTROLLED SUBSTANCES</w:t>
            </w:r>
          </w:p>
        </w:tc>
      </w:tr>
      <w:tr w:rsidR="00786ACB" w:rsidRPr="00E2137D" w14:paraId="6F5467DC" w14:textId="77777777" w:rsidTr="003E2513">
        <w:trPr>
          <w:trHeight w:val="71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0D7B" w14:textId="6110FEEE" w:rsidR="00786ACB" w:rsidRPr="00E2137D" w:rsidRDefault="00786ACB" w:rsidP="00786ACB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86024" w:rsidRPr="00E2137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FD53" w14:textId="495877DD" w:rsidR="00786ACB" w:rsidRPr="00E2137D" w:rsidRDefault="00AA11E1" w:rsidP="00786ACB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Do you have all</w:t>
            </w:r>
            <w:r w:rsidR="00F638C3"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 the destruction records from the reverse distributor? DEA Form 222 and invoices?</w:t>
            </w:r>
            <w:r w:rsidR="007E09C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hyperlink r:id="rId53" w:history="1">
              <w:r w:rsidR="007E09C8" w:rsidRPr="007E09C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Form 4</w:t>
              </w:r>
            </w:hyperlink>
            <w:r w:rsidR="007E09C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4A99" w14:textId="77777777" w:rsidR="00786ACB" w:rsidRPr="00E2137D" w:rsidRDefault="00786ACB" w:rsidP="00786ACB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8335" w14:textId="2F9D15B5" w:rsidR="00786ACB" w:rsidRPr="00E2137D" w:rsidRDefault="00D223CA" w:rsidP="00786ACB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§ </w:t>
            </w:r>
            <w:hyperlink r:id="rId54" w:history="1">
              <w:r w:rsidRPr="006A789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1304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.21</w:t>
            </w:r>
            <w:r w:rsidR="00EF32D1" w:rsidRPr="00E2137D">
              <w:rPr>
                <w:rFonts w:asciiTheme="minorHAnsi" w:hAnsiTheme="minorHAnsi" w:cstheme="minorHAnsi"/>
                <w:sz w:val="20"/>
                <w:szCs w:val="20"/>
              </w:rPr>
              <w:t>(e)</w:t>
            </w: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 General requirements for continuing records.</w:t>
            </w:r>
          </w:p>
        </w:tc>
      </w:tr>
      <w:tr w:rsidR="00786ACB" w:rsidRPr="00E2137D" w14:paraId="3700A1EF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26C4" w14:textId="73D47624" w:rsidR="00786ACB" w:rsidRPr="00E2137D" w:rsidRDefault="00786ACB" w:rsidP="00786ACB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86024" w:rsidRPr="00E2137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1103" w14:textId="2B187383" w:rsidR="00786ACB" w:rsidRPr="00E2137D" w:rsidRDefault="00786ACB" w:rsidP="00786ACB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Have arrangements been made for disposal of any expired, unusable or unwanted Controlled Substances through engagement with a licensed reverse distributor</w:t>
            </w:r>
            <w:r w:rsidR="007E09C8">
              <w:rPr>
                <w:rFonts w:asciiTheme="minorHAnsi" w:hAnsiTheme="minorHAnsi" w:cstheme="minorHAnsi"/>
                <w:sz w:val="20"/>
                <w:szCs w:val="20"/>
              </w:rPr>
              <w:t>. Registrant must have documentation when controlled substances leave the registered location. A DEA Form 222 for the reverse distributor is require</w:t>
            </w:r>
            <w:r w:rsidR="001B533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7E09C8">
              <w:rPr>
                <w:rFonts w:asciiTheme="minorHAnsi" w:hAnsiTheme="minorHAnsi" w:cstheme="minorHAnsi"/>
                <w:sz w:val="20"/>
                <w:szCs w:val="20"/>
              </w:rPr>
              <w:t xml:space="preserve"> for Schedule I-II and an inventory for Schedule III-V</w:t>
            </w:r>
            <w:r w:rsidR="00F517A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517A1" w:rsidRPr="00E2137D">
              <w:rPr>
                <w:rFonts w:cstheme="minorHAnsi"/>
                <w:sz w:val="20"/>
                <w:szCs w:val="20"/>
              </w:rPr>
              <w:t>[</w:t>
            </w:r>
            <w:hyperlink r:id="rId55" w:history="1">
              <w:r w:rsidR="00F517A1" w:rsidRPr="00E2137D">
                <w:rPr>
                  <w:rStyle w:val="Hyperlink"/>
                  <w:rFonts w:cstheme="minorHAnsi"/>
                  <w:sz w:val="20"/>
                  <w:szCs w:val="20"/>
                </w:rPr>
                <w:t>Form 4</w:t>
              </w:r>
            </w:hyperlink>
            <w:r w:rsidR="00F517A1" w:rsidRPr="00E2137D">
              <w:rPr>
                <w:rFonts w:cstheme="minorHAnsi"/>
                <w:sz w:val="20"/>
                <w:szCs w:val="20"/>
              </w:rPr>
              <w:t>]</w:t>
            </w: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5177" w14:textId="77777777" w:rsidR="00786ACB" w:rsidRPr="00E2137D" w:rsidRDefault="00786ACB" w:rsidP="00786ACB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36F8" w14:textId="3370C045" w:rsidR="00786ACB" w:rsidRPr="00E2137D" w:rsidRDefault="00786ACB" w:rsidP="00786ACB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21 CFR. </w:t>
            </w:r>
            <w:hyperlink r:id="rId56" w:history="1">
              <w:r w:rsidR="001072EB" w:rsidRPr="006A789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</w:t>
              </w:r>
              <w:r w:rsidRPr="006A789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17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6A789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786ACB" w:rsidRPr="00E2137D" w14:paraId="74E2D538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5A6F" w14:textId="014E82F2" w:rsidR="00786ACB" w:rsidRPr="00E2137D" w:rsidRDefault="00786ACB" w:rsidP="00786ACB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86024" w:rsidRPr="00E2137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235F" w14:textId="64143B02" w:rsidR="00786ACB" w:rsidRPr="00E2137D" w:rsidRDefault="00786ACB" w:rsidP="00786ACB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Were there any significant discrepancies in the inventory or logs, including suspect theft, of Controlled Substances?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E58D" w14:textId="77777777" w:rsidR="00786ACB" w:rsidRPr="00E2137D" w:rsidRDefault="00786ACB" w:rsidP="00786ACB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3D98" w14:textId="64A1A94D" w:rsidR="00786ACB" w:rsidRPr="00E2137D" w:rsidRDefault="006D4860" w:rsidP="00786ACB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21 CFR. </w:t>
            </w:r>
            <w:hyperlink r:id="rId57" w:history="1">
              <w:r w:rsidRPr="006A789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1301.74</w:t>
              </w:r>
            </w:hyperlink>
            <w:r w:rsidR="001567FD" w:rsidRPr="00E2137D">
              <w:rPr>
                <w:rFonts w:asciiTheme="minorHAnsi" w:hAnsiTheme="minorHAnsi" w:cstheme="minorHAnsi"/>
                <w:sz w:val="20"/>
                <w:szCs w:val="20"/>
              </w:rPr>
              <w:t>(c)</w:t>
            </w:r>
          </w:p>
        </w:tc>
      </w:tr>
      <w:tr w:rsidR="00786ACB" w:rsidRPr="00E2137D" w14:paraId="651A736D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C8EB" w14:textId="383F5CC2" w:rsidR="00786ACB" w:rsidRPr="00E2137D" w:rsidRDefault="00786ACB" w:rsidP="00786ACB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86024" w:rsidRPr="00E2137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DEE7" w14:textId="584B3B85" w:rsidR="00786ACB" w:rsidRPr="00E2137D" w:rsidRDefault="00786ACB" w:rsidP="00786ACB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If yes, were those documented on the “Controlled Substances Discrepancy Report Form” and reported in accordance with instructions contained on </w:t>
            </w:r>
            <w:r w:rsidRPr="00E2137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that form [</w:t>
            </w:r>
            <w:hyperlink r:id="rId58" w:history="1">
              <w:r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Form 5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]?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FD63" w14:textId="77777777" w:rsidR="00786ACB" w:rsidRPr="00E2137D" w:rsidRDefault="00786ACB" w:rsidP="00786ACB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A504" w14:textId="77F1298B" w:rsidR="00786ACB" w:rsidRPr="00E2137D" w:rsidRDefault="00786ACB" w:rsidP="00786ACB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9" w:history="1">
              <w:r w:rsidRPr="006A789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21 CFR 1301.76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(b)</w:t>
            </w:r>
          </w:p>
        </w:tc>
      </w:tr>
      <w:tr w:rsidR="00786ACB" w:rsidRPr="00E2137D" w14:paraId="266E4041" w14:textId="77777777" w:rsidTr="00E65EFB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D6AB" w14:textId="432459D8" w:rsidR="00786ACB" w:rsidRPr="00E2137D" w:rsidRDefault="00786ACB" w:rsidP="00786ACB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86024" w:rsidRPr="00E2137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545B" w14:textId="6C067308" w:rsidR="00786ACB" w:rsidRPr="00E2137D" w:rsidRDefault="00786ACB" w:rsidP="00786ACB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Do you have an SOP or checklist in your records in case of lost or theft of Controlled Substances? </w:t>
            </w:r>
            <w:hyperlink r:id="rId60" w:history="1">
              <w:r w:rsidRPr="00E213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Find an example here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1906" w14:textId="77777777" w:rsidR="00786ACB" w:rsidRPr="00E2137D" w:rsidRDefault="00786ACB" w:rsidP="00786ACB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DF96" w14:textId="14FEA91B" w:rsidR="00786ACB" w:rsidRPr="00E2137D" w:rsidRDefault="00786ACB" w:rsidP="00786ACB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Best practice</w:t>
            </w:r>
          </w:p>
        </w:tc>
      </w:tr>
      <w:tr w:rsidR="00786ACB" w:rsidRPr="00E2137D" w14:paraId="6BB74A3A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BFDA" w14:textId="25FAD707" w:rsidR="00786ACB" w:rsidRPr="00E2137D" w:rsidRDefault="00786ACB" w:rsidP="00786ACB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86024" w:rsidRPr="00E2137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E76F" w14:textId="77777777" w:rsidR="00786ACB" w:rsidRPr="00E2137D" w:rsidRDefault="00786ACB" w:rsidP="00786ACB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Are all Controlled Substances records kept secure and separated from other business records?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73F9" w14:textId="77777777" w:rsidR="00786ACB" w:rsidRPr="00E2137D" w:rsidRDefault="00786ACB" w:rsidP="00786ACB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11D1" w14:textId="43364A54" w:rsidR="00786ACB" w:rsidRPr="00E2137D" w:rsidRDefault="00786ACB" w:rsidP="00786ACB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21 CFR. </w:t>
            </w:r>
            <w:hyperlink r:id="rId61" w:history="1">
              <w:r w:rsidRPr="006A789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1304.04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(h)</w:t>
            </w:r>
          </w:p>
        </w:tc>
      </w:tr>
      <w:tr w:rsidR="00786ACB" w:rsidRPr="00E2137D" w14:paraId="6548C87F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81F6" w14:textId="677EC65D" w:rsidR="00786ACB" w:rsidRPr="00E2137D" w:rsidRDefault="00786ACB" w:rsidP="00786ACB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86024" w:rsidRPr="00E2137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3FA" w14:textId="60E2161C" w:rsidR="00786ACB" w:rsidRPr="00E2137D" w:rsidRDefault="00786ACB" w:rsidP="00786ACB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Are Schedule I and II Controlled Substances records, including all DEA Form 222, kept separated from records pertaining to Schedule III-V Controlled Substances?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02C" w14:textId="77777777" w:rsidR="00786ACB" w:rsidRPr="00E2137D" w:rsidRDefault="00786ACB" w:rsidP="00786ACB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4D00" w14:textId="5162D511" w:rsidR="00786ACB" w:rsidRPr="00E2137D" w:rsidRDefault="00786ACB" w:rsidP="00786ACB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21 CFR. </w:t>
            </w:r>
            <w:hyperlink r:id="rId62" w:history="1">
              <w:r w:rsidRPr="006A789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1304.04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(f)1</w:t>
            </w:r>
          </w:p>
        </w:tc>
      </w:tr>
      <w:tr w:rsidR="00786ACB" w:rsidRPr="00E2137D" w14:paraId="7A9EF8F5" w14:textId="77777777" w:rsidTr="00EF0CD6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A5A0" w14:textId="0416B3A9" w:rsidR="00786ACB" w:rsidRPr="00E2137D" w:rsidRDefault="00786ACB" w:rsidP="00786ACB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86024" w:rsidRPr="00E2137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BDC6" w14:textId="2006FE01" w:rsidR="00786ACB" w:rsidRPr="00E2137D" w:rsidRDefault="00786ACB" w:rsidP="00786ACB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Are all Controlled Substances records maintained for </w:t>
            </w:r>
            <w:r w:rsidR="005900E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 years from the final disposition of the drug?</w:t>
            </w:r>
            <w:r w:rsidR="005900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63" w:history="1">
              <w:r w:rsidR="005900E5" w:rsidRPr="005900E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Emory policy 7.25</w:t>
              </w:r>
            </w:hyperlink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15D1" w14:textId="77777777" w:rsidR="00786ACB" w:rsidRPr="00E2137D" w:rsidRDefault="00786ACB" w:rsidP="00786ACB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84D" w14:textId="58F93A1C" w:rsidR="00786ACB" w:rsidRPr="00E2137D" w:rsidRDefault="00786ACB" w:rsidP="00786ACB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21 CFR </w:t>
            </w:r>
            <w:hyperlink r:id="rId64" w:history="1">
              <w:r w:rsidRPr="006A789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1304.04</w:t>
              </w:r>
            </w:hyperlink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(a), </w:t>
            </w:r>
          </w:p>
        </w:tc>
      </w:tr>
      <w:tr w:rsidR="00CB45C7" w:rsidRPr="00E2137D" w14:paraId="015BADD4" w14:textId="77777777" w:rsidTr="00321A27">
        <w:trPr>
          <w:trHeight w:val="305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FDA97B" w14:textId="6F82BF2B" w:rsidR="00CB45C7" w:rsidRPr="00E2137D" w:rsidRDefault="00CB45C7" w:rsidP="00786ACB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Every registrant is required to </w:t>
            </w:r>
            <w:r w:rsidR="00976A70" w:rsidRPr="00E2137D">
              <w:rPr>
                <w:rFonts w:asciiTheme="minorHAnsi" w:hAnsiTheme="minorHAnsi" w:cstheme="minorHAnsi"/>
                <w:sz w:val="20"/>
                <w:szCs w:val="20"/>
              </w:rPr>
              <w:t>keep complete and accurate records (21 CFR 1304.21</w:t>
            </w:r>
            <w:r w:rsidR="00321A27" w:rsidRPr="00E2137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976A70" w:rsidRPr="00E2137D">
              <w:rPr>
                <w:rFonts w:asciiTheme="minorHAnsi" w:hAnsiTheme="minorHAnsi" w:cstheme="minorHAnsi"/>
                <w:sz w:val="20"/>
                <w:szCs w:val="20"/>
              </w:rPr>
              <w:t xml:space="preserve">. This section is designed to help you maintain that regulation. </w:t>
            </w:r>
          </w:p>
        </w:tc>
      </w:tr>
    </w:tbl>
    <w:p w14:paraId="43BEF24D" w14:textId="77777777" w:rsidR="003E2513" w:rsidRPr="00E2137D" w:rsidRDefault="003E2513" w:rsidP="001A0DF5">
      <w:pPr>
        <w:spacing w:before="240"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</w:p>
    <w:p w14:paraId="3FC1B9ED" w14:textId="03FE097F" w:rsidR="00A3595F" w:rsidRPr="00E2137D" w:rsidRDefault="00A3595F" w:rsidP="001A0DF5">
      <w:pPr>
        <w:spacing w:before="240"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E2137D">
        <w:rPr>
          <w:rFonts w:eastAsia="Times New Roman" w:cstheme="minorHAnsi"/>
          <w:b/>
          <w:bCs/>
          <w:color w:val="000000"/>
          <w:sz w:val="20"/>
          <w:szCs w:val="20"/>
        </w:rPr>
        <w:t xml:space="preserve">Completed by:            </w:t>
      </w:r>
      <w:r w:rsidRPr="00E2137D">
        <w:rPr>
          <w:rFonts w:eastAsia="Times New Roman" w:cstheme="minorHAnsi"/>
          <w:color w:val="000000"/>
          <w:sz w:val="20"/>
          <w:szCs w:val="20"/>
        </w:rPr>
        <w:t>___________________________________________________   Date:  _______________</w:t>
      </w:r>
    </w:p>
    <w:p w14:paraId="06069ABC" w14:textId="77777777" w:rsidR="000B0FD2" w:rsidRPr="00E2137D" w:rsidRDefault="00A3595F" w:rsidP="00070663">
      <w:pPr>
        <w:spacing w:before="240" w:after="0" w:line="240" w:lineRule="auto"/>
        <w:rPr>
          <w:rFonts w:cstheme="minorHAnsi"/>
          <w:sz w:val="20"/>
          <w:szCs w:val="20"/>
        </w:rPr>
      </w:pPr>
      <w:r w:rsidRPr="00E2137D">
        <w:rPr>
          <w:rFonts w:eastAsia="Times New Roman" w:cstheme="minorHAnsi"/>
          <w:b/>
          <w:bCs/>
          <w:color w:val="000000"/>
          <w:sz w:val="20"/>
          <w:szCs w:val="20"/>
        </w:rPr>
        <w:t xml:space="preserve">Registrant signature:  </w:t>
      </w:r>
      <w:r w:rsidRPr="00E2137D">
        <w:rPr>
          <w:rFonts w:eastAsia="Times New Roman" w:cstheme="minorHAnsi"/>
          <w:color w:val="000000"/>
          <w:sz w:val="20"/>
          <w:szCs w:val="20"/>
        </w:rPr>
        <w:t>__________________________________________________    Date:  _______________</w:t>
      </w:r>
    </w:p>
    <w:sectPr w:rsidR="000B0FD2" w:rsidRPr="00E2137D" w:rsidSect="00F82F70">
      <w:headerReference w:type="default" r:id="rId65"/>
      <w:footerReference w:type="default" r:id="rId66"/>
      <w:footerReference w:type="first" r:id="rId6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04A1E" w14:textId="77777777" w:rsidR="00970C93" w:rsidRDefault="00970C93" w:rsidP="00244B23">
      <w:pPr>
        <w:spacing w:after="0" w:line="240" w:lineRule="auto"/>
      </w:pPr>
      <w:r>
        <w:separator/>
      </w:r>
    </w:p>
  </w:endnote>
  <w:endnote w:type="continuationSeparator" w:id="0">
    <w:p w14:paraId="172A7486" w14:textId="77777777" w:rsidR="00970C93" w:rsidRDefault="00970C93" w:rsidP="00244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EC55" w14:textId="77777777" w:rsidR="002C318A" w:rsidRDefault="002C318A" w:rsidP="00082697">
    <w:pPr>
      <w:pStyle w:val="Footer"/>
    </w:pPr>
  </w:p>
  <w:p w14:paraId="610079FE" w14:textId="7C4EED79" w:rsidR="002C318A" w:rsidRPr="00770FC9" w:rsidRDefault="002C318A" w:rsidP="005A3F4C">
    <w:pPr>
      <w:pStyle w:val="Footer"/>
      <w:rPr>
        <w:rFonts w:ascii="Calibri" w:hAnsi="Calibri" w:cs="Calibri"/>
        <w:sz w:val="18"/>
        <w:szCs w:val="18"/>
      </w:rPr>
    </w:pPr>
    <w:r w:rsidRPr="00770FC9">
      <w:rPr>
        <w:rFonts w:ascii="Calibri" w:hAnsi="Calibri" w:cs="Calibri"/>
        <w:sz w:val="18"/>
        <w:szCs w:val="18"/>
      </w:rPr>
      <w:t xml:space="preserve">Version </w:t>
    </w:r>
    <w:r w:rsidR="00175702">
      <w:rPr>
        <w:rFonts w:ascii="Calibri" w:hAnsi="Calibri" w:cs="Calibri"/>
        <w:sz w:val="18"/>
        <w:szCs w:val="18"/>
      </w:rPr>
      <w:t>8/2</w:t>
    </w:r>
    <w:r w:rsidR="00925CD6">
      <w:rPr>
        <w:rFonts w:ascii="Calibri" w:hAnsi="Calibri" w:cs="Calibri"/>
        <w:sz w:val="18"/>
        <w:szCs w:val="18"/>
      </w:rPr>
      <w:t>7</w:t>
    </w:r>
    <w:r w:rsidR="00175702">
      <w:rPr>
        <w:rFonts w:ascii="Calibri" w:hAnsi="Calibri" w:cs="Calibri"/>
        <w:sz w:val="18"/>
        <w:szCs w:val="18"/>
      </w:rPr>
      <w:t>/24</w:t>
    </w:r>
  </w:p>
  <w:p w14:paraId="4508DED0" w14:textId="66EB8D9D" w:rsidR="002C318A" w:rsidRPr="00082697" w:rsidRDefault="002C318A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O</w:t>
    </w:r>
    <w:r w:rsidRPr="00DD4F5A">
      <w:rPr>
        <w:rFonts w:ascii="Calibri" w:hAnsi="Calibri" w:cs="Calibri"/>
        <w:sz w:val="18"/>
        <w:szCs w:val="18"/>
      </w:rPr>
      <w:t xml:space="preserve">ffice of </w:t>
    </w:r>
    <w:r>
      <w:rPr>
        <w:rFonts w:ascii="Calibri" w:hAnsi="Calibri" w:cs="Calibri"/>
        <w:sz w:val="18"/>
        <w:szCs w:val="18"/>
      </w:rPr>
      <w:t xml:space="preserve">Research Integrity and </w:t>
    </w:r>
    <w:r w:rsidRPr="00DD4F5A">
      <w:rPr>
        <w:rFonts w:ascii="Calibri" w:hAnsi="Calibri" w:cs="Calibri"/>
        <w:sz w:val="18"/>
        <w:szCs w:val="18"/>
      </w:rPr>
      <w:t>Compliance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5247" w14:textId="6BE49352" w:rsidR="002C318A" w:rsidRPr="00770FC9" w:rsidRDefault="002C318A" w:rsidP="002B4845">
    <w:pPr>
      <w:pStyle w:val="Footer"/>
      <w:rPr>
        <w:rFonts w:ascii="Calibri" w:hAnsi="Calibri" w:cs="Calibri"/>
        <w:sz w:val="18"/>
        <w:szCs w:val="18"/>
      </w:rPr>
    </w:pPr>
    <w:r w:rsidRPr="00770FC9">
      <w:rPr>
        <w:rFonts w:ascii="Calibri" w:hAnsi="Calibri" w:cs="Calibri"/>
        <w:sz w:val="18"/>
        <w:szCs w:val="18"/>
      </w:rPr>
      <w:t xml:space="preserve">Version </w:t>
    </w:r>
    <w:r>
      <w:rPr>
        <w:rFonts w:ascii="Calibri" w:hAnsi="Calibri" w:cs="Calibri"/>
        <w:sz w:val="18"/>
        <w:szCs w:val="18"/>
      </w:rPr>
      <w:t>7/27/2021</w:t>
    </w:r>
  </w:p>
  <w:p w14:paraId="372B6155" w14:textId="78B1C7CC" w:rsidR="002C318A" w:rsidRPr="002B4845" w:rsidRDefault="002C318A" w:rsidP="002B4845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O</w:t>
    </w:r>
    <w:r w:rsidRPr="00DD4F5A">
      <w:rPr>
        <w:rFonts w:ascii="Calibri" w:hAnsi="Calibri" w:cs="Calibri"/>
        <w:sz w:val="18"/>
        <w:szCs w:val="18"/>
      </w:rPr>
      <w:t xml:space="preserve">ffice of </w:t>
    </w:r>
    <w:r>
      <w:rPr>
        <w:rFonts w:ascii="Calibri" w:hAnsi="Calibri" w:cs="Calibri"/>
        <w:sz w:val="18"/>
        <w:szCs w:val="18"/>
      </w:rPr>
      <w:t xml:space="preserve">Research Integrity and </w:t>
    </w:r>
    <w:r w:rsidRPr="00DD4F5A">
      <w:rPr>
        <w:rFonts w:ascii="Calibri" w:hAnsi="Calibri" w:cs="Calibri"/>
        <w:sz w:val="18"/>
        <w:szCs w:val="18"/>
      </w:rPr>
      <w:t>Compliance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DC48A" w14:textId="77777777" w:rsidR="00970C93" w:rsidRDefault="00970C93" w:rsidP="00244B23">
      <w:pPr>
        <w:spacing w:after="0" w:line="240" w:lineRule="auto"/>
      </w:pPr>
      <w:r>
        <w:separator/>
      </w:r>
    </w:p>
  </w:footnote>
  <w:footnote w:type="continuationSeparator" w:id="0">
    <w:p w14:paraId="49C5FD5C" w14:textId="77777777" w:rsidR="00970C93" w:rsidRDefault="00970C93" w:rsidP="00244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B99D" w14:textId="31715B2B" w:rsidR="00F82F70" w:rsidRDefault="00F82F70" w:rsidP="00F82F70">
    <w:pPr>
      <w:spacing w:after="0" w:line="240" w:lineRule="auto"/>
      <w:rPr>
        <w:rFonts w:ascii="Calibri" w:hAnsi="Calibri" w:cs="Calibri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C7A2E01" wp14:editId="743AD182">
          <wp:simplePos x="0" y="0"/>
          <wp:positionH relativeFrom="margin">
            <wp:posOffset>4972050</wp:posOffset>
          </wp:positionH>
          <wp:positionV relativeFrom="paragraph">
            <wp:posOffset>-353060</wp:posOffset>
          </wp:positionV>
          <wp:extent cx="1400175" cy="514350"/>
          <wp:effectExtent l="0" t="0" r="9525" b="0"/>
          <wp:wrapSquare wrapText="bothSides"/>
          <wp:docPr id="1" name="Picture 1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Calibri"/>
        <w:b/>
      </w:rPr>
      <w:t>Form 1</w:t>
    </w:r>
  </w:p>
  <w:p w14:paraId="0D81179A" w14:textId="130544F3" w:rsidR="00F82F70" w:rsidRDefault="00F82F70" w:rsidP="00F82F70">
    <w:pPr>
      <w:spacing w:line="240" w:lineRule="auto"/>
      <w:ind w:right="-630"/>
    </w:pPr>
    <w:r w:rsidRPr="00F82F70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4E10B" wp14:editId="428D5E40">
              <wp:simplePos x="0" y="0"/>
              <wp:positionH relativeFrom="column">
                <wp:posOffset>-1044575</wp:posOffset>
              </wp:positionH>
              <wp:positionV relativeFrom="paragraph">
                <wp:posOffset>255270</wp:posOffset>
              </wp:positionV>
              <wp:extent cx="12477750" cy="45085"/>
              <wp:effectExtent l="0" t="19050" r="38100" b="50165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2477750" cy="4508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82A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82.25pt;margin-top:20.1pt;width:982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" strokecolor="#b68c16" strokeweight="4.5pt">
              <v:shadow color="#243f60" opacity=".5" offset="1pt"/>
            </v:shape>
          </w:pict>
        </mc:Fallback>
      </mc:AlternateContent>
    </w:r>
    <w:r w:rsidRPr="00F82F70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D10779" wp14:editId="004CB58E">
              <wp:simplePos x="0" y="0"/>
              <wp:positionH relativeFrom="column">
                <wp:posOffset>-1009650</wp:posOffset>
              </wp:positionH>
              <wp:positionV relativeFrom="paragraph">
                <wp:posOffset>203835</wp:posOffset>
              </wp:positionV>
              <wp:extent cx="12382500" cy="46990"/>
              <wp:effectExtent l="0" t="19050" r="38100" b="4826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2382500" cy="4699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049201" id="AutoShape 9" o:spid="_x0000_s1026" type="#_x0000_t32" style="position:absolute;margin-left:-79.5pt;margin-top:16.05pt;width:975pt;height:3.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b/>
      </w:rPr>
      <w:t>Self-inspection of Controlled Substances</w:t>
    </w:r>
  </w:p>
  <w:p w14:paraId="5D000B3C" w14:textId="3081D602" w:rsidR="002C318A" w:rsidRPr="00F82F70" w:rsidRDefault="002C318A" w:rsidP="00F82F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E4BB7"/>
    <w:multiLevelType w:val="hybridMultilevel"/>
    <w:tmpl w:val="1A8CCC66"/>
    <w:lvl w:ilvl="0" w:tplc="99F61FF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25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zMTG0NLEwNjE3sjRS0lEKTi0uzszPAykwqgUA1oCD0ywAAAA="/>
  </w:docVars>
  <w:rsids>
    <w:rsidRoot w:val="00E87BC2"/>
    <w:rsid w:val="0001484D"/>
    <w:rsid w:val="000210CF"/>
    <w:rsid w:val="000364B6"/>
    <w:rsid w:val="000424F3"/>
    <w:rsid w:val="00061428"/>
    <w:rsid w:val="00070663"/>
    <w:rsid w:val="00082697"/>
    <w:rsid w:val="00086F13"/>
    <w:rsid w:val="0009724A"/>
    <w:rsid w:val="000B0FD2"/>
    <w:rsid w:val="000E23DE"/>
    <w:rsid w:val="000F0530"/>
    <w:rsid w:val="001072EB"/>
    <w:rsid w:val="00110253"/>
    <w:rsid w:val="0011536D"/>
    <w:rsid w:val="00123DE0"/>
    <w:rsid w:val="0013297D"/>
    <w:rsid w:val="001422EB"/>
    <w:rsid w:val="001444BF"/>
    <w:rsid w:val="00146467"/>
    <w:rsid w:val="0015431E"/>
    <w:rsid w:val="001567FD"/>
    <w:rsid w:val="001648CA"/>
    <w:rsid w:val="001741A5"/>
    <w:rsid w:val="00175702"/>
    <w:rsid w:val="00187ED1"/>
    <w:rsid w:val="00191EE9"/>
    <w:rsid w:val="001A0DF5"/>
    <w:rsid w:val="001A0EBD"/>
    <w:rsid w:val="001A437A"/>
    <w:rsid w:val="001A4FE0"/>
    <w:rsid w:val="001B0A43"/>
    <w:rsid w:val="001B533E"/>
    <w:rsid w:val="001C4587"/>
    <w:rsid w:val="001C7DEC"/>
    <w:rsid w:val="001D1CD3"/>
    <w:rsid w:val="001E2741"/>
    <w:rsid w:val="001E605C"/>
    <w:rsid w:val="002035B8"/>
    <w:rsid w:val="00211472"/>
    <w:rsid w:val="002160D2"/>
    <w:rsid w:val="00217D40"/>
    <w:rsid w:val="00221829"/>
    <w:rsid w:val="00244B23"/>
    <w:rsid w:val="00253873"/>
    <w:rsid w:val="00255836"/>
    <w:rsid w:val="00285AA4"/>
    <w:rsid w:val="002A3461"/>
    <w:rsid w:val="002A486E"/>
    <w:rsid w:val="002B2814"/>
    <w:rsid w:val="002B4845"/>
    <w:rsid w:val="002C13D4"/>
    <w:rsid w:val="002C267E"/>
    <w:rsid w:val="002C318A"/>
    <w:rsid w:val="002C38A4"/>
    <w:rsid w:val="002C5992"/>
    <w:rsid w:val="002C5A24"/>
    <w:rsid w:val="002C6424"/>
    <w:rsid w:val="002D1361"/>
    <w:rsid w:val="002E452C"/>
    <w:rsid w:val="002F2A64"/>
    <w:rsid w:val="002F4697"/>
    <w:rsid w:val="00301EB2"/>
    <w:rsid w:val="00304FAB"/>
    <w:rsid w:val="003051D2"/>
    <w:rsid w:val="00321A27"/>
    <w:rsid w:val="00323B04"/>
    <w:rsid w:val="003474C1"/>
    <w:rsid w:val="00353F9E"/>
    <w:rsid w:val="003601A7"/>
    <w:rsid w:val="0036238F"/>
    <w:rsid w:val="00364EE7"/>
    <w:rsid w:val="00365668"/>
    <w:rsid w:val="0039417E"/>
    <w:rsid w:val="00396005"/>
    <w:rsid w:val="00397C61"/>
    <w:rsid w:val="003A5818"/>
    <w:rsid w:val="003B0EBA"/>
    <w:rsid w:val="003C1B83"/>
    <w:rsid w:val="003C38AE"/>
    <w:rsid w:val="003C431A"/>
    <w:rsid w:val="003C6A5E"/>
    <w:rsid w:val="003D1455"/>
    <w:rsid w:val="003E23D3"/>
    <w:rsid w:val="003E2513"/>
    <w:rsid w:val="003E3688"/>
    <w:rsid w:val="003E40D6"/>
    <w:rsid w:val="004015FB"/>
    <w:rsid w:val="00407E08"/>
    <w:rsid w:val="004114B5"/>
    <w:rsid w:val="0042219F"/>
    <w:rsid w:val="004335BA"/>
    <w:rsid w:val="0049271D"/>
    <w:rsid w:val="004A40B1"/>
    <w:rsid w:val="004D4455"/>
    <w:rsid w:val="00502CC2"/>
    <w:rsid w:val="0053123D"/>
    <w:rsid w:val="00533963"/>
    <w:rsid w:val="005521B0"/>
    <w:rsid w:val="0055249E"/>
    <w:rsid w:val="00566747"/>
    <w:rsid w:val="0057272C"/>
    <w:rsid w:val="005743BF"/>
    <w:rsid w:val="00574A27"/>
    <w:rsid w:val="00575223"/>
    <w:rsid w:val="005900E5"/>
    <w:rsid w:val="005A023D"/>
    <w:rsid w:val="005A3F4C"/>
    <w:rsid w:val="005B09B1"/>
    <w:rsid w:val="005C286D"/>
    <w:rsid w:val="005E019F"/>
    <w:rsid w:val="005E72B7"/>
    <w:rsid w:val="005F6E73"/>
    <w:rsid w:val="00601DB2"/>
    <w:rsid w:val="00621F4C"/>
    <w:rsid w:val="006454D6"/>
    <w:rsid w:val="00655065"/>
    <w:rsid w:val="0066136A"/>
    <w:rsid w:val="0067082C"/>
    <w:rsid w:val="00693A8D"/>
    <w:rsid w:val="006A7896"/>
    <w:rsid w:val="006B0D3A"/>
    <w:rsid w:val="006D02FB"/>
    <w:rsid w:val="006D4860"/>
    <w:rsid w:val="006E66B0"/>
    <w:rsid w:val="007026BB"/>
    <w:rsid w:val="00716F4F"/>
    <w:rsid w:val="0072699E"/>
    <w:rsid w:val="0073232C"/>
    <w:rsid w:val="00733E2D"/>
    <w:rsid w:val="00733EBB"/>
    <w:rsid w:val="00743505"/>
    <w:rsid w:val="00766A66"/>
    <w:rsid w:val="00774B49"/>
    <w:rsid w:val="00786ACB"/>
    <w:rsid w:val="007A1BFA"/>
    <w:rsid w:val="007E09C8"/>
    <w:rsid w:val="007E49A7"/>
    <w:rsid w:val="00806D72"/>
    <w:rsid w:val="00817844"/>
    <w:rsid w:val="008203D1"/>
    <w:rsid w:val="00821135"/>
    <w:rsid w:val="00826178"/>
    <w:rsid w:val="008341C7"/>
    <w:rsid w:val="00835ED2"/>
    <w:rsid w:val="0084514C"/>
    <w:rsid w:val="00845C62"/>
    <w:rsid w:val="00886024"/>
    <w:rsid w:val="008923E7"/>
    <w:rsid w:val="00892828"/>
    <w:rsid w:val="008957FD"/>
    <w:rsid w:val="008E6D53"/>
    <w:rsid w:val="008F34D6"/>
    <w:rsid w:val="009241F5"/>
    <w:rsid w:val="00925CD6"/>
    <w:rsid w:val="0093279B"/>
    <w:rsid w:val="0093313E"/>
    <w:rsid w:val="00933935"/>
    <w:rsid w:val="00941BDB"/>
    <w:rsid w:val="00942992"/>
    <w:rsid w:val="00955CFD"/>
    <w:rsid w:val="00957510"/>
    <w:rsid w:val="00961726"/>
    <w:rsid w:val="00970C93"/>
    <w:rsid w:val="00976A70"/>
    <w:rsid w:val="009828F2"/>
    <w:rsid w:val="0098502D"/>
    <w:rsid w:val="009901DE"/>
    <w:rsid w:val="009A009F"/>
    <w:rsid w:val="009A7D84"/>
    <w:rsid w:val="009C604C"/>
    <w:rsid w:val="009C6A89"/>
    <w:rsid w:val="009C7CB3"/>
    <w:rsid w:val="009E6CE7"/>
    <w:rsid w:val="009F129A"/>
    <w:rsid w:val="00A170B4"/>
    <w:rsid w:val="00A3595F"/>
    <w:rsid w:val="00A53A07"/>
    <w:rsid w:val="00A83EC4"/>
    <w:rsid w:val="00AA01FB"/>
    <w:rsid w:val="00AA11E1"/>
    <w:rsid w:val="00AB17F4"/>
    <w:rsid w:val="00AC036D"/>
    <w:rsid w:val="00AD59CC"/>
    <w:rsid w:val="00B00392"/>
    <w:rsid w:val="00B020D5"/>
    <w:rsid w:val="00B032F1"/>
    <w:rsid w:val="00B03C61"/>
    <w:rsid w:val="00B11CA5"/>
    <w:rsid w:val="00B31C39"/>
    <w:rsid w:val="00B334E1"/>
    <w:rsid w:val="00B36B80"/>
    <w:rsid w:val="00B700E4"/>
    <w:rsid w:val="00B90CFA"/>
    <w:rsid w:val="00B968EE"/>
    <w:rsid w:val="00BC621C"/>
    <w:rsid w:val="00BE2CF3"/>
    <w:rsid w:val="00BF4B7A"/>
    <w:rsid w:val="00C157F8"/>
    <w:rsid w:val="00C231FC"/>
    <w:rsid w:val="00C24D1A"/>
    <w:rsid w:val="00C2553D"/>
    <w:rsid w:val="00C27C9E"/>
    <w:rsid w:val="00C45957"/>
    <w:rsid w:val="00C646EC"/>
    <w:rsid w:val="00C800C8"/>
    <w:rsid w:val="00C9160D"/>
    <w:rsid w:val="00CA4D2C"/>
    <w:rsid w:val="00CB45C7"/>
    <w:rsid w:val="00CC4214"/>
    <w:rsid w:val="00CE0993"/>
    <w:rsid w:val="00CF77EC"/>
    <w:rsid w:val="00D02DC3"/>
    <w:rsid w:val="00D0720B"/>
    <w:rsid w:val="00D20E88"/>
    <w:rsid w:val="00D223CA"/>
    <w:rsid w:val="00D46F7B"/>
    <w:rsid w:val="00D47522"/>
    <w:rsid w:val="00D8296E"/>
    <w:rsid w:val="00D85E0F"/>
    <w:rsid w:val="00D90F0D"/>
    <w:rsid w:val="00DA66CD"/>
    <w:rsid w:val="00DB18E5"/>
    <w:rsid w:val="00DC02F9"/>
    <w:rsid w:val="00DC5EBC"/>
    <w:rsid w:val="00DC70F6"/>
    <w:rsid w:val="00DE4AF0"/>
    <w:rsid w:val="00E11ECB"/>
    <w:rsid w:val="00E2137D"/>
    <w:rsid w:val="00E31D49"/>
    <w:rsid w:val="00E439B6"/>
    <w:rsid w:val="00E61661"/>
    <w:rsid w:val="00E63B52"/>
    <w:rsid w:val="00E65EFB"/>
    <w:rsid w:val="00E706C0"/>
    <w:rsid w:val="00E70CA7"/>
    <w:rsid w:val="00E73571"/>
    <w:rsid w:val="00E750D8"/>
    <w:rsid w:val="00E7575F"/>
    <w:rsid w:val="00E76D13"/>
    <w:rsid w:val="00E83270"/>
    <w:rsid w:val="00E87BC2"/>
    <w:rsid w:val="00E93815"/>
    <w:rsid w:val="00EC28CF"/>
    <w:rsid w:val="00EF0CD6"/>
    <w:rsid w:val="00EF125A"/>
    <w:rsid w:val="00EF32D1"/>
    <w:rsid w:val="00EF7196"/>
    <w:rsid w:val="00F21D46"/>
    <w:rsid w:val="00F234CF"/>
    <w:rsid w:val="00F33C7A"/>
    <w:rsid w:val="00F35BE6"/>
    <w:rsid w:val="00F517A1"/>
    <w:rsid w:val="00F638C3"/>
    <w:rsid w:val="00F80CD0"/>
    <w:rsid w:val="00F82F70"/>
    <w:rsid w:val="00F928EA"/>
    <w:rsid w:val="00F94F77"/>
    <w:rsid w:val="00FA1BE4"/>
    <w:rsid w:val="00FA39B2"/>
    <w:rsid w:val="00FE628D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03C7D"/>
  <w15:docId w15:val="{439F059A-377A-4FFA-8547-FF05141F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B23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F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8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B23"/>
    <w:pPr>
      <w:ind w:left="720"/>
      <w:contextualSpacing/>
    </w:pPr>
  </w:style>
  <w:style w:type="paragraph" w:customStyle="1" w:styleId="CM5">
    <w:name w:val="CM5"/>
    <w:basedOn w:val="Normal"/>
    <w:next w:val="Normal"/>
    <w:uiPriority w:val="99"/>
    <w:rsid w:val="00244B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244B2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4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B23"/>
    <w:rPr>
      <w:rFonts w:eastAsiaTheme="minorEastAsia"/>
    </w:rPr>
  </w:style>
  <w:style w:type="paragraph" w:styleId="Footer">
    <w:name w:val="footer"/>
    <w:basedOn w:val="Normal"/>
    <w:link w:val="FooterChar"/>
    <w:unhideWhenUsed/>
    <w:rsid w:val="00244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44B2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CD3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13D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6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A6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66"/>
    <w:rPr>
      <w:rFonts w:eastAsiaTheme="minorEastAsia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A3F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A1BE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741A5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8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67082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2137D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B032F1"/>
  </w:style>
  <w:style w:type="paragraph" w:styleId="Revision">
    <w:name w:val="Revision"/>
    <w:hidden/>
    <w:uiPriority w:val="99"/>
    <w:semiHidden/>
    <w:rsid w:val="007E09C8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cfr.gov/current/title-21/chapter-II/part-1301/subject-group-ECFRa7ff8142033a7a2/section-1301.72" TargetMode="External"/><Relationship Id="rId21" Type="http://schemas.openxmlformats.org/officeDocument/2006/relationships/hyperlink" Target="https://www.ecfr.gov/current/title-21/chapter-II/part-1301/subject-group-ECFRa7ff8142033a7a2" TargetMode="External"/><Relationship Id="rId42" Type="http://schemas.openxmlformats.org/officeDocument/2006/relationships/hyperlink" Target="https://www.ecfr.gov/current/title-21/chapter-II/part-1305" TargetMode="External"/><Relationship Id="rId47" Type="http://schemas.openxmlformats.org/officeDocument/2006/relationships/hyperlink" Target="https://www.ecfr.gov/current/title-21/chapter-II/part-1305/subpart-A/section-1305.05" TargetMode="External"/><Relationship Id="rId63" Type="http://schemas.openxmlformats.org/officeDocument/2006/relationships/hyperlink" Target="file:///\\eu-securefile-ts\finadmin-ts\Compliance\ORA-ORC\ORC-Home\mhuber\My%20Documents\controlled%20substances\Manager%20-%20MCN%20Healthcare%20(ellucid.com)" TargetMode="External"/><Relationship Id="rId68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cfr.gov/current/title-21/chapter-II/part-1301/subject-group-ECFRa7ff8142033a7a2/section-1301.76" TargetMode="External"/><Relationship Id="rId29" Type="http://schemas.openxmlformats.org/officeDocument/2006/relationships/hyperlink" Target="https://www.ecfr.gov/current/title-21/chapter-II/part-1301/subject-group-ECFRa7ff8142033a7a2" TargetMode="External"/><Relationship Id="rId11" Type="http://schemas.openxmlformats.org/officeDocument/2006/relationships/hyperlink" Target="https://rcra.emory.edu/_includes/documents/sections/oric/form-2-cs.docx" TargetMode="External"/><Relationship Id="rId24" Type="http://schemas.openxmlformats.org/officeDocument/2006/relationships/hyperlink" Target="https://www.ecfr.gov/current/title-21/chapter-II/part-1301/subject-group-ECFRa7ff8142033a7a2/section-1301.75" TargetMode="External"/><Relationship Id="rId32" Type="http://schemas.openxmlformats.org/officeDocument/2006/relationships/hyperlink" Target="https://www.ecfr.gov/current/title-21/chapter-II/part-1301/subject-group-ECFRa7ff8142033a7a2" TargetMode="External"/><Relationship Id="rId37" Type="http://schemas.openxmlformats.org/officeDocument/2006/relationships/hyperlink" Target="https://rcra.emory.edu/_includes/documents/sections/oric/form6_csi.xlsx" TargetMode="External"/><Relationship Id="rId40" Type="http://schemas.openxmlformats.org/officeDocument/2006/relationships/hyperlink" Target="https://rcra.emory.edu/_includes/documents/sections/oric/form-8-cs.docx" TargetMode="External"/><Relationship Id="rId45" Type="http://schemas.openxmlformats.org/officeDocument/2006/relationships/hyperlink" Target="https://www.ecfr.gov/current/title-21/chapter-II/part-1305" TargetMode="External"/><Relationship Id="rId53" Type="http://schemas.openxmlformats.org/officeDocument/2006/relationships/hyperlink" Target="https://view.officeapps.live.com/op/view.aspx?src=https%3A%2F%2Frcra.emory.edu%2F_includes%2Fdocuments%2Fsections%2Foric%2Fform-4-cs-destruction-log.docx&amp;wdOrigin=BROWSELINK" TargetMode="External"/><Relationship Id="rId58" Type="http://schemas.openxmlformats.org/officeDocument/2006/relationships/hyperlink" Target="https://rcra.emory.edu/_includes/documents/sections/oric/form5_.docx" TargetMode="External"/><Relationship Id="rId66" Type="http://schemas.openxmlformats.org/officeDocument/2006/relationships/footer" Target="footer1.xml"/><Relationship Id="rId5" Type="http://schemas.openxmlformats.org/officeDocument/2006/relationships/styles" Target="styles.xml"/><Relationship Id="rId61" Type="http://schemas.openxmlformats.org/officeDocument/2006/relationships/hyperlink" Target="https://www.ecfr.gov/current/title-21/chapter-II/part-1304" TargetMode="External"/><Relationship Id="rId19" Type="http://schemas.openxmlformats.org/officeDocument/2006/relationships/hyperlink" Target="https://www.ecfr.gov/current/title-21/chapter-II/part-1301/subject-group-ECFR0f5a129834f0129/section-1301.11" TargetMode="External"/><Relationship Id="rId14" Type="http://schemas.openxmlformats.org/officeDocument/2006/relationships/hyperlink" Target="https://www.ecfr.gov/current/title-21/chapter-II/part-1301/subject-group-ECFRa7ff8142033a7a2/section-1301.76" TargetMode="External"/><Relationship Id="rId22" Type="http://schemas.openxmlformats.org/officeDocument/2006/relationships/hyperlink" Target="C://Users/mhuber/Downloads/Department480RULESOFGEORGIASTATEBOARDOFPHARMACY%20(1).pdf" TargetMode="External"/><Relationship Id="rId27" Type="http://schemas.openxmlformats.org/officeDocument/2006/relationships/hyperlink" Target="https://www.ecfr.gov/current/title-21/chapter-II/part-1301/subject-group-ECFRa7ff8142033a7a2/section-1301.75" TargetMode="External"/><Relationship Id="rId30" Type="http://schemas.openxmlformats.org/officeDocument/2006/relationships/hyperlink" Target="https://www.ecfr.gov/current/title-21/chapter-II/part-1301/subject-group-ECFRa7ff8142033a7a2" TargetMode="External"/><Relationship Id="rId35" Type="http://schemas.openxmlformats.org/officeDocument/2006/relationships/hyperlink" Target="https://rcra.emory.edu/_includes/documents/sections/oric/form6-cs.docx" TargetMode="External"/><Relationship Id="rId43" Type="http://schemas.openxmlformats.org/officeDocument/2006/relationships/hyperlink" Target="https://www.ecfr.gov/current/title-21/chapter-II/part-1304" TargetMode="External"/><Relationship Id="rId48" Type="http://schemas.openxmlformats.org/officeDocument/2006/relationships/hyperlink" Target="https://rcra.emory.edu/_includes/documents/sections/oric/form7_cscudl.xlsx" TargetMode="External"/><Relationship Id="rId56" Type="http://schemas.openxmlformats.org/officeDocument/2006/relationships/hyperlink" Target="https://www.ecfr.gov/current/title-21/chapter-II/part-1317/subpart-A" TargetMode="External"/><Relationship Id="rId64" Type="http://schemas.openxmlformats.org/officeDocument/2006/relationships/hyperlink" Target="https://www.ecfr.gov/current/title-21/chapter-II/part-1304" TargetMode="External"/><Relationship Id="rId69" Type="http://schemas.openxmlformats.org/officeDocument/2006/relationships/glossaryDocument" Target="glossary/document.xml"/><Relationship Id="rId8" Type="http://schemas.openxmlformats.org/officeDocument/2006/relationships/footnotes" Target="footnotes.xml"/><Relationship Id="rId51" Type="http://schemas.openxmlformats.org/officeDocument/2006/relationships/hyperlink" Target="https://rcra.emory.edu/_includes/documents/sections/oric/form11_csdul.docx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ecfr.gov/current/title-21/chapter-II/part-1301/subject-group-ECFRa7ff8142033a7a2" TargetMode="External"/><Relationship Id="rId17" Type="http://schemas.openxmlformats.org/officeDocument/2006/relationships/hyperlink" Target="https://www.ecfr.gov/current/title-21/chapter-II/part-1301/subject-group-ECFRa7ff8142033a7a2" TargetMode="External"/><Relationship Id="rId25" Type="http://schemas.openxmlformats.org/officeDocument/2006/relationships/hyperlink" Target="https://www.ecfr.gov/current/title-21/chapter-II/part-1301/subject-group-ECFRa7ff8142033a7a2/section-1301.72" TargetMode="External"/><Relationship Id="rId33" Type="http://schemas.openxmlformats.org/officeDocument/2006/relationships/hyperlink" Target="https://www.bing.com/ck/a?!&amp;&amp;p=b23d7aa79cf20f98JmltdHM9MTY4MDEzNDQwMCZpZ3VpZD0yMTg1ODkwNS00ZmEwLTZlZTAtMzM4Ni05OGU5NGJhMDYwNzUmaW5zaWQ9NTQxNQ&amp;ptn=3&amp;hsh=3&amp;fclid=21858905-4fa0-6ee0-3386-98e94ba06075&amp;psq=requirement+to+display+pharmacy+license&amp;u=a1aHR0cHM6Ly93d3cubGF3LmNvcm5lbGwuZWR1L3VzY29kZS90ZXh0LzIxLzIwNSM6fjp0ZXh0PUV2ZXJ5JTIwbGljZW5zZSUyMHRvJTIwcHJhY3RpY2UlMjBwaGFybWFjeSUyMHNoYWxsJTIwYmUlMjBjb25zcGljdW91c2x5LDMlMkMlMjAxOTE1JTJDJTIwY2guJTIwNzQlMkMlMjAlQzIlQTclRTIlODAlQUY1JTJDJTIwMzglMjBTdGF0LiUyMDgxOS4lMjk&amp;ntb=1" TargetMode="External"/><Relationship Id="rId38" Type="http://schemas.openxmlformats.org/officeDocument/2006/relationships/hyperlink" Target="https://www.ecfr.gov/current/title-21/chapter-II/part-1304/subject-group-ECFR9944e94ba5f1eb0/section-1304.11" TargetMode="External"/><Relationship Id="rId46" Type="http://schemas.openxmlformats.org/officeDocument/2006/relationships/hyperlink" Target="https://rcra.emory.edu/_includes/documents/sections/oric/form10_deapa.pdf" TargetMode="External"/><Relationship Id="rId59" Type="http://schemas.openxmlformats.org/officeDocument/2006/relationships/hyperlink" Target="https://www.ecfr.gov/current/title-21/chapter-II/part-1301/subject-group-ECFRa7ff8142033a7a2/section-1301.76" TargetMode="External"/><Relationship Id="rId67" Type="http://schemas.openxmlformats.org/officeDocument/2006/relationships/footer" Target="footer2.xml"/><Relationship Id="rId20" Type="http://schemas.openxmlformats.org/officeDocument/2006/relationships/hyperlink" Target="https://www.ecfr.gov/current/title-21/chapter-II/part-1301/subject-group-ECFRa7ff8142033a7a2" TargetMode="External"/><Relationship Id="rId41" Type="http://schemas.openxmlformats.org/officeDocument/2006/relationships/hyperlink" Target="https://rcra.emory.edu/_includes/documents/sections/oric/form-9.cs.docx" TargetMode="External"/><Relationship Id="rId54" Type="http://schemas.openxmlformats.org/officeDocument/2006/relationships/hyperlink" Target="https://www.ecfr.gov/current/title-21/chapter-II/part-1304" TargetMode="External"/><Relationship Id="rId62" Type="http://schemas.openxmlformats.org/officeDocument/2006/relationships/hyperlink" Target="https://www.ecfr.gov/current/title-21/chapter-II/part-1304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rcra.emory.edu/_includes/documents/sections/oric/form3_eueass.docx" TargetMode="External"/><Relationship Id="rId23" Type="http://schemas.openxmlformats.org/officeDocument/2006/relationships/hyperlink" Target="https://www.ecfr.gov/current/title-21/chapter-II/part-1301/subject-group-ECFRa7ff8142033a7a2/section-1301.75" TargetMode="External"/><Relationship Id="rId28" Type="http://schemas.openxmlformats.org/officeDocument/2006/relationships/hyperlink" Target="https://www.ecfr.gov/current/title-21/chapter-II/part-1301/subject-group-ECFRa7ff8142033a7a2" TargetMode="External"/><Relationship Id="rId36" Type="http://schemas.openxmlformats.org/officeDocument/2006/relationships/hyperlink" Target="https://www.ecfr.gov/current/title-21/chapter-II/part-1304/subject-group-ECFR9944e94ba5f1eb0/section-1304.11" TargetMode="External"/><Relationship Id="rId49" Type="http://schemas.openxmlformats.org/officeDocument/2006/relationships/hyperlink" Target="https://www.ecfr.gov/current/title-21/chapter-II/part-1305/subpart-A/section-1305.04" TargetMode="External"/><Relationship Id="rId57" Type="http://schemas.openxmlformats.org/officeDocument/2006/relationships/hyperlink" Target="https://www.ecfr.gov/current/title-21/chapter-II/part-1301/subject-group-ECFRa7ff8142033a7a2/section-1301.74" TargetMode="External"/><Relationship Id="rId10" Type="http://schemas.openxmlformats.org/officeDocument/2006/relationships/hyperlink" Target="https://rcra.emory.edu/oric/controlled-substances/forms.html" TargetMode="External"/><Relationship Id="rId31" Type="http://schemas.openxmlformats.org/officeDocument/2006/relationships/hyperlink" Target="https://www.ecfr.gov/current/title-21/chapter-II/part-1301/subject-group-ECFRa7ff8142033a7a2" TargetMode="External"/><Relationship Id="rId44" Type="http://schemas.openxmlformats.org/officeDocument/2006/relationships/hyperlink" Target="https://www.ecfr.gov/current/title-21/chapter-II/part-1305/subpart-B/section-1305.13" TargetMode="External"/><Relationship Id="rId52" Type="http://schemas.openxmlformats.org/officeDocument/2006/relationships/hyperlink" Target="https://www.ecfr.gov/current/title-21/chapter-II/part-1302" TargetMode="External"/><Relationship Id="rId60" Type="http://schemas.openxmlformats.org/officeDocument/2006/relationships/hyperlink" Target="https://rcra.emory.edu/_includes/documents/sections/oric/cs_due_diligence_sop.pdf" TargetMode="External"/><Relationship Id="rId65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www.ecfr.gov/current/title-21/chapter-II/part-1301/subject-group-ECFRa7ff8142033a7a2" TargetMode="External"/><Relationship Id="rId18" Type="http://schemas.openxmlformats.org/officeDocument/2006/relationships/hyperlink" Target="https://rcra.emory.edu/oric/controlled-substances/training.html" TargetMode="External"/><Relationship Id="rId39" Type="http://schemas.openxmlformats.org/officeDocument/2006/relationships/hyperlink" Target="https://www.ecfr.gov/current/title-21/chapter-II/part-1305" TargetMode="External"/><Relationship Id="rId34" Type="http://schemas.openxmlformats.org/officeDocument/2006/relationships/hyperlink" Target="https://www.ecfr.gov/current/title-21/chapter-II/part-1301/subject-group-ECFR3b1489fb21ea6df/section-1301.35" TargetMode="External"/><Relationship Id="rId50" Type="http://schemas.openxmlformats.org/officeDocument/2006/relationships/hyperlink" Target="https://gbp.georgia.gov/document/laws-policies-rules/title-16-chapter-13-crimes-and-offenses-controlled-substances-updated/download" TargetMode="External"/><Relationship Id="rId55" Type="http://schemas.openxmlformats.org/officeDocument/2006/relationships/hyperlink" Target="https://rcra.emory.edu/_includes/documents/sections/oric/form-4-cs-destruction-log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A0767-1D0F-48FC-8303-2F84D328DA2C}"/>
      </w:docPartPr>
      <w:docPartBody>
        <w:p w:rsidR="00875E89" w:rsidRDefault="004E04A8">
          <w:r w:rsidRPr="00704B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A8"/>
    <w:rsid w:val="001C4587"/>
    <w:rsid w:val="00364DD2"/>
    <w:rsid w:val="00407B9A"/>
    <w:rsid w:val="004E04A8"/>
    <w:rsid w:val="00505D93"/>
    <w:rsid w:val="006C02DA"/>
    <w:rsid w:val="00875E89"/>
    <w:rsid w:val="00B968EE"/>
    <w:rsid w:val="00E66ACE"/>
    <w:rsid w:val="00FC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04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e25c60-b236-4840-b6e2-308a8d3f8757">
      <Terms xmlns="http://schemas.microsoft.com/office/infopath/2007/PartnerControls"/>
    </lcf76f155ced4ddcb4097134ff3c332f>
    <TaxCatchAll xmlns="0dfcd319-83fc-4f6f-9c6e-9b2edaa76c02" xsi:nil="true"/>
    <SharedWithUsers xmlns="0dfcd319-83fc-4f6f-9c6e-9b2edaa76c02">
      <UserInfo>
        <DisplayName>Van De Cruize, Aaliyah Saran</DisplayName>
        <AccountId>143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1851A0C54499E09DE886E60C7D2" ma:contentTypeVersion="18" ma:contentTypeDescription="Create a new document." ma:contentTypeScope="" ma:versionID="489b3c6ce9b058f03d561ef7834bae33">
  <xsd:schema xmlns:xsd="http://www.w3.org/2001/XMLSchema" xmlns:xs="http://www.w3.org/2001/XMLSchema" xmlns:p="http://schemas.microsoft.com/office/2006/metadata/properties" xmlns:ns2="17e25c60-b236-4840-b6e2-308a8d3f8757" xmlns:ns3="0dfcd319-83fc-4f6f-9c6e-9b2edaa76c02" targetNamespace="http://schemas.microsoft.com/office/2006/metadata/properties" ma:root="true" ma:fieldsID="688e72f114bd4bf69dfbf0db22986e4c" ns2:_="" ns3:_="">
    <xsd:import namespace="17e25c60-b236-4840-b6e2-308a8d3f8757"/>
    <xsd:import namespace="0dfcd319-83fc-4f6f-9c6e-9b2edaa76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5c60-b236-4840-b6e2-308a8d3f8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cd319-83fc-4f6f-9c6e-9b2edaa7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70568c-9954-4f24-b603-fcc75455a966}" ma:internalName="TaxCatchAll" ma:showField="CatchAllData" ma:web="0dfcd319-83fc-4f6f-9c6e-9b2edaa76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56305-0CE1-4EE1-8CD3-A0D565D518C7}">
  <ds:schemaRefs>
    <ds:schemaRef ds:uri="http://schemas.microsoft.com/office/2006/metadata/properties"/>
    <ds:schemaRef ds:uri="http://schemas.microsoft.com/office/infopath/2007/PartnerControls"/>
    <ds:schemaRef ds:uri="17e25c60-b236-4840-b6e2-308a8d3f8757"/>
    <ds:schemaRef ds:uri="0dfcd319-83fc-4f6f-9c6e-9b2edaa76c02"/>
  </ds:schemaRefs>
</ds:datastoreItem>
</file>

<file path=customXml/itemProps2.xml><?xml version="1.0" encoding="utf-8"?>
<ds:datastoreItem xmlns:ds="http://schemas.openxmlformats.org/officeDocument/2006/customXml" ds:itemID="{0803F3A8-C95C-4855-9A14-D9B60DAC8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25c60-b236-4840-b6e2-308a8d3f8757"/>
    <ds:schemaRef ds:uri="0dfcd319-83fc-4f6f-9c6e-9b2edaa76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B12FF-3C0D-4097-99F8-79C7A5D718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Cramer, Christine</dc:creator>
  <cp:lastModifiedBy>Davila, Maria G.</cp:lastModifiedBy>
  <cp:revision>3</cp:revision>
  <cp:lastPrinted>2018-05-09T16:06:00Z</cp:lastPrinted>
  <dcterms:created xsi:type="dcterms:W3CDTF">2024-08-27T18:37:00Z</dcterms:created>
  <dcterms:modified xsi:type="dcterms:W3CDTF">2025-02-14T18:29:00Z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0x0101006B5C91851A0C54499E09DE886E60C7D2</vt:lpwstr>
  </property>
  <property fmtid="{D5CDD505-2E9C-101B-9397-08002B2CF9AE}" pid="3" name="MediaServiceImageTags">
    <vt:lpwstr/>
  </property>
</Properties>
</file>